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6"/>
          <w:szCs w:val="56"/>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56"/>
          <w:szCs w:val="56"/>
        </w:rPr>
        <w:t>201</w:t>
      </w:r>
      <w:r>
        <w:rPr>
          <w:rFonts w:hint="eastAsia" w:ascii="黑体" w:hAnsi="黑体" w:eastAsia="黑体"/>
          <w:color w:val="000000"/>
          <w:sz w:val="56"/>
          <w:szCs w:val="56"/>
        </w:rPr>
        <w:t>8</w:t>
      </w:r>
      <w:r>
        <w:rPr>
          <w:rFonts w:hint="eastAsia" w:ascii="方正小标宋简体" w:hAnsi="宋体" w:eastAsia="方正小标宋简体"/>
          <w:color w:val="000000"/>
          <w:sz w:val="56"/>
          <w:szCs w:val="5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6"/>
          <w:szCs w:val="56"/>
        </w:rPr>
      </w:pPr>
      <w:bookmarkStart w:id="6" w:name="_Toc15378442"/>
      <w:bookmarkStart w:id="7" w:name="_Toc15377426"/>
      <w:bookmarkStart w:id="8" w:name="_Toc15377194"/>
      <w:bookmarkStart w:id="9" w:name="_Toc15396476"/>
      <w:bookmarkStart w:id="10" w:name="_Toc15396598"/>
      <w:r>
        <w:rPr>
          <w:rFonts w:hint="eastAsia" w:ascii="方正小标宋简体" w:hAnsi="宋体" w:eastAsia="方正小标宋简体"/>
          <w:color w:val="000000"/>
          <w:sz w:val="56"/>
          <w:szCs w:val="56"/>
        </w:rPr>
        <w:t>四川省乐山</w:t>
      </w:r>
      <w:r>
        <w:rPr>
          <w:rFonts w:ascii="方正小标宋简体" w:hAnsi="宋体" w:eastAsia="方正小标宋简体"/>
          <w:color w:val="000000"/>
          <w:sz w:val="56"/>
          <w:szCs w:val="56"/>
        </w:rPr>
        <w:t>市</w:t>
      </w:r>
      <w:bookmarkEnd w:id="0"/>
      <w:bookmarkStart w:id="11" w:name="_Toc15306268"/>
      <w:r>
        <w:rPr>
          <w:rFonts w:hint="eastAsia" w:ascii="方正小标宋简体" w:hAnsi="宋体" w:eastAsia="方正小标宋简体"/>
          <w:color w:val="000000"/>
          <w:sz w:val="56"/>
          <w:szCs w:val="56"/>
          <w:lang w:eastAsia="zh-CN"/>
        </w:rPr>
        <w:t>乐山职业技术学院</w:t>
      </w:r>
      <w:r>
        <w:rPr>
          <w:rFonts w:hint="eastAsia" w:ascii="方正小标宋简体" w:hAnsi="宋体" w:eastAsia="方正小标宋简体"/>
          <w:color w:val="000000"/>
          <w:sz w:val="56"/>
          <w:szCs w:val="5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t xml:space="preserve"> </w:t>
      </w:r>
      <w:r>
        <w:rPr>
          <w:rFonts w:hint="eastAsia"/>
          <w:lang w:val="en-US" w:eastAsia="zh-CN"/>
        </w:rPr>
        <w:t>9</w:t>
      </w:r>
      <w:r>
        <w:t xml:space="preserve"> </w:t>
      </w:r>
      <w:r>
        <w:rPr>
          <w:rFonts w:hint="eastAsia"/>
        </w:rPr>
        <w:t xml:space="preserve">月 </w:t>
      </w:r>
      <w:r>
        <w:rPr>
          <w:rFonts w:hint="eastAsia"/>
          <w:lang w:val="en-US" w:eastAsia="zh-CN"/>
        </w:rPr>
        <w:t>29</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22"/>
          <w:rFonts w:hint="eastAsia"/>
        </w:rPr>
        <w:t>第一部分</w:t>
      </w:r>
      <w:r>
        <w:rPr>
          <w:rStyle w:val="22"/>
        </w:rPr>
        <w:t xml:space="preserve"> </w:t>
      </w:r>
      <w:r>
        <w:rPr>
          <w:rStyle w:val="22"/>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22"/>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22"/>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22"/>
          <w:rFonts w:hint="eastAsia"/>
        </w:rPr>
        <w:t>第二部分</w:t>
      </w:r>
      <w:r>
        <w:rPr>
          <w:rStyle w:val="22"/>
        </w:rPr>
        <w:t xml:space="preserve"> 2018</w:t>
      </w:r>
      <w:r>
        <w:rPr>
          <w:rStyle w:val="22"/>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22"/>
          <w:rFonts w:hint="eastAsia" w:ascii="仿宋" w:hAnsi="仿宋" w:eastAsia="仿宋" w:cstheme="majorBidi"/>
          <w:bCs/>
          <w:sz w:val="28"/>
          <w:szCs w:val="28"/>
        </w:rPr>
        <w:t>一、</w:t>
      </w:r>
      <w:r>
        <w:rPr>
          <w:rStyle w:val="22"/>
          <w:rFonts w:hint="eastAsia" w:ascii="仿宋" w:hAnsi="仿宋" w:eastAsia="仿宋"/>
          <w:sz w:val="28"/>
          <w:szCs w:val="28"/>
        </w:rPr>
        <w:t>收</w:t>
      </w:r>
      <w:r>
        <w:rPr>
          <w:rStyle w:val="22"/>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22"/>
          <w:rFonts w:hint="eastAsia" w:ascii="仿宋" w:hAnsi="仿宋" w:eastAsia="仿宋" w:cstheme="majorBidi"/>
          <w:bCs/>
          <w:sz w:val="28"/>
          <w:szCs w:val="28"/>
        </w:rPr>
        <w:t>二、</w:t>
      </w:r>
      <w:r>
        <w:rPr>
          <w:rStyle w:val="22"/>
          <w:rFonts w:hint="eastAsia" w:ascii="仿宋" w:hAnsi="仿宋" w:eastAsia="仿宋"/>
          <w:sz w:val="28"/>
          <w:szCs w:val="28"/>
        </w:rPr>
        <w:t>收</w:t>
      </w:r>
      <w:r>
        <w:rPr>
          <w:rStyle w:val="22"/>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22"/>
          <w:rFonts w:hint="eastAsia" w:ascii="仿宋" w:hAnsi="仿宋" w:eastAsia="仿宋" w:cstheme="majorBidi"/>
          <w:bCs/>
          <w:sz w:val="28"/>
          <w:szCs w:val="28"/>
        </w:rPr>
        <w:t>三、</w:t>
      </w:r>
      <w:r>
        <w:rPr>
          <w:rStyle w:val="22"/>
          <w:rFonts w:hint="eastAsia" w:ascii="仿宋" w:hAnsi="仿宋" w:eastAsia="仿宋"/>
          <w:sz w:val="28"/>
          <w:szCs w:val="28"/>
        </w:rPr>
        <w:t>支</w:t>
      </w:r>
      <w:r>
        <w:rPr>
          <w:rStyle w:val="22"/>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22"/>
          <w:rFonts w:hint="eastAsia" w:ascii="仿宋" w:hAnsi="仿宋" w:eastAsia="仿宋"/>
          <w:sz w:val="28"/>
          <w:szCs w:val="28"/>
        </w:rPr>
        <w:t>四、财</w:t>
      </w:r>
      <w:r>
        <w:rPr>
          <w:rStyle w:val="22"/>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22"/>
          <w:rFonts w:hint="eastAsia" w:ascii="仿宋" w:hAnsi="仿宋" w:eastAsia="仿宋"/>
          <w:sz w:val="28"/>
          <w:szCs w:val="28"/>
        </w:rPr>
        <w:t>五、一</w:t>
      </w:r>
      <w:r>
        <w:rPr>
          <w:rStyle w:val="22"/>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22"/>
          <w:rFonts w:hint="eastAsia" w:ascii="仿宋" w:hAnsi="仿宋" w:eastAsia="仿宋"/>
          <w:sz w:val="28"/>
          <w:szCs w:val="28"/>
        </w:rPr>
        <w:t>六、一</w:t>
      </w:r>
      <w:r>
        <w:rPr>
          <w:rStyle w:val="22"/>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22"/>
          <w:rFonts w:hint="eastAsia" w:ascii="仿宋" w:hAnsi="仿宋" w:eastAsia="仿宋"/>
          <w:sz w:val="28"/>
          <w:szCs w:val="28"/>
        </w:rPr>
        <w:t>七、</w:t>
      </w:r>
      <w:r>
        <w:rPr>
          <w:rStyle w:val="22"/>
          <w:rFonts w:ascii="仿宋" w:hAnsi="仿宋" w:eastAsia="仿宋"/>
          <w:sz w:val="28"/>
          <w:szCs w:val="28"/>
        </w:rPr>
        <w:t>“</w:t>
      </w:r>
      <w:r>
        <w:rPr>
          <w:rStyle w:val="22"/>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22"/>
          <w:rFonts w:hint="eastAsia" w:ascii="仿宋" w:hAnsi="仿宋" w:eastAsia="仿宋"/>
          <w:sz w:val="28"/>
          <w:szCs w:val="28"/>
        </w:rPr>
        <w:t>八、</w:t>
      </w:r>
      <w:r>
        <w:rPr>
          <w:rStyle w:val="22"/>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22"/>
          <w:rFonts w:hint="eastAsia" w:ascii="仿宋" w:hAnsi="仿宋" w:eastAsia="仿宋" w:cstheme="majorBidi"/>
          <w:bCs/>
          <w:sz w:val="28"/>
          <w:szCs w:val="28"/>
        </w:rPr>
        <w:t>九、</w:t>
      </w:r>
      <w:r>
        <w:rPr>
          <w:rStyle w:val="22"/>
          <w:rFonts w:hint="eastAsia" w:ascii="仿宋" w:hAnsi="仿宋" w:eastAsia="仿宋"/>
          <w:sz w:val="28"/>
          <w:szCs w:val="28"/>
        </w:rPr>
        <w:t xml:space="preserve"> 国</w:t>
      </w:r>
      <w:r>
        <w:rPr>
          <w:rStyle w:val="22"/>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22"/>
          <w:rFonts w:hint="eastAsia" w:ascii="仿宋" w:hAnsi="仿宋" w:eastAsia="仿宋"/>
          <w:sz w:val="28"/>
          <w:szCs w:val="28"/>
        </w:rPr>
        <w:t>十</w:t>
      </w:r>
      <w:r>
        <w:rPr>
          <w:rStyle w:val="22"/>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22"/>
          <w:rFonts w:hint="eastAsia"/>
          <w:bCs/>
          <w:kern w:val="44"/>
        </w:rPr>
        <w:t>第三部分</w:t>
      </w:r>
      <w:r>
        <w:rPr>
          <w:rStyle w:val="22"/>
          <w:rFonts w:hint="eastAsia"/>
        </w:rPr>
        <w:t xml:space="preserve"> 名</w:t>
      </w:r>
      <w:r>
        <w:rPr>
          <w:rStyle w:val="22"/>
          <w:rFonts w:hint="eastAsia"/>
          <w:bCs/>
          <w:kern w:val="44"/>
        </w:rPr>
        <w:t>词解释</w:t>
      </w:r>
      <w:r>
        <w:tab/>
      </w:r>
      <w:r>
        <w:fldChar w:fldCharType="begin"/>
      </w:r>
      <w:r>
        <w:instrText xml:space="preserve"> PAGEREF _Toc15396613 \h </w:instrText>
      </w:r>
      <w:r>
        <w:fldChar w:fldCharType="separate"/>
      </w:r>
      <w:r>
        <w:t>28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22"/>
          <w:rFonts w:hint="eastAsia"/>
        </w:rPr>
        <w:t>第</w:t>
      </w:r>
      <w:r>
        <w:rPr>
          <w:rStyle w:val="22"/>
          <w:rFonts w:hint="eastAsia"/>
          <w:bCs/>
          <w:kern w:val="44"/>
        </w:rPr>
        <w:t>四部分</w:t>
      </w:r>
      <w:r>
        <w:rPr>
          <w:rStyle w:val="22"/>
          <w:bCs/>
          <w:kern w:val="44"/>
        </w:rPr>
        <w:t xml:space="preserve"> </w:t>
      </w:r>
      <w:r>
        <w:rPr>
          <w:rStyle w:val="22"/>
          <w:rFonts w:hint="eastAsia"/>
          <w:bCs/>
          <w:kern w:val="44"/>
        </w:rPr>
        <w:t>附件</w:t>
      </w:r>
      <w:r>
        <w:tab/>
      </w:r>
      <w:r>
        <w:fldChar w:fldCharType="begin"/>
      </w:r>
      <w:r>
        <w:instrText xml:space="preserve"> PAGEREF _Toc15396614 \h </w:instrText>
      </w:r>
      <w:r>
        <w:fldChar w:fldCharType="separate"/>
      </w:r>
      <w:r>
        <w:t>33</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22"/>
          <w:rFonts w:hint="eastAsia" w:ascii="仿宋" w:hAnsi="仿宋" w:eastAsia="仿宋"/>
          <w:kern w:val="44"/>
          <w:sz w:val="28"/>
          <w:szCs w:val="28"/>
        </w:rPr>
        <w:t>附件</w:t>
      </w:r>
      <w:r>
        <w:rPr>
          <w:rStyle w:val="22"/>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22"/>
          <w:rFonts w:hint="eastAsia"/>
        </w:rPr>
        <w:t>第</w:t>
      </w:r>
      <w:r>
        <w:rPr>
          <w:rStyle w:val="22"/>
          <w:rFonts w:hint="eastAsia"/>
          <w:bCs/>
          <w:kern w:val="44"/>
        </w:rPr>
        <w:t>五部分</w:t>
      </w:r>
      <w:r>
        <w:rPr>
          <w:rStyle w:val="22"/>
          <w:bCs/>
          <w:kern w:val="44"/>
        </w:rPr>
        <w:t xml:space="preserve"> </w:t>
      </w:r>
      <w:r>
        <w:rPr>
          <w:rStyle w:val="22"/>
          <w:rFonts w:hint="eastAsia"/>
          <w:bCs/>
          <w:kern w:val="44"/>
        </w:rPr>
        <w:t>附表</w:t>
      </w:r>
      <w:r>
        <w:tab/>
      </w:r>
      <w:r>
        <w:fldChar w:fldCharType="begin"/>
      </w:r>
      <w:r>
        <w:instrText xml:space="preserve"> PAGEREF _Toc15396618 \h </w:instrText>
      </w:r>
      <w:r>
        <w:fldChar w:fldCharType="separate"/>
      </w:r>
      <w:r>
        <w:t>43</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22"/>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22"/>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22"/>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22"/>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22"/>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22"/>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22"/>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22"/>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22"/>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22"/>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22"/>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22"/>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33"/>
          <w:rFonts w:hint="eastAsia" w:ascii="黑体" w:hAnsi="黑体" w:eastAsia="黑体"/>
          <w:b w:val="0"/>
          <w:bCs w:val="0"/>
        </w:rPr>
        <w:t>部门概况</w:t>
      </w:r>
      <w:bookmarkEnd w:id="12"/>
      <w:bookmarkEnd w:id="13"/>
    </w:p>
    <w:p>
      <w:pPr>
        <w:pStyle w:val="3"/>
        <w:rPr>
          <w:rStyle w:val="34"/>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34"/>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cs="Times New Roman"/>
          <w:color w:val="000000"/>
          <w:kern w:val="2"/>
          <w:sz w:val="32"/>
          <w:szCs w:val="32"/>
          <w:lang w:val="en-US" w:eastAsia="zh-CN" w:bidi="ar-SA"/>
        </w:rPr>
      </w:pPr>
      <w:bookmarkStart w:id="16" w:name="_Toc15377198"/>
      <w:bookmarkStart w:id="17" w:name="_Toc15378445"/>
      <w:r>
        <w:rPr>
          <w:rFonts w:hint="eastAsia" w:ascii="仿宋" w:hAnsi="仿宋" w:eastAsia="仿宋" w:cs="Times New Roman"/>
          <w:color w:val="000000"/>
          <w:kern w:val="2"/>
          <w:sz w:val="32"/>
          <w:szCs w:val="32"/>
          <w:lang w:val="en-US" w:eastAsia="zh-CN" w:bidi="ar-SA"/>
        </w:rPr>
        <w:t>（一）主要职能。</w:t>
      </w:r>
      <w:bookmarkEnd w:id="16"/>
      <w:bookmarkEnd w:id="17"/>
    </w:p>
    <w:p>
      <w:pPr>
        <w:spacing w:line="360" w:lineRule="auto"/>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乐山职业技术学院的基本职能是</w:t>
      </w:r>
      <w:r>
        <w:rPr>
          <w:rFonts w:hint="eastAsia" w:ascii="仿宋" w:hAnsi="仿宋" w:eastAsia="仿宋" w:cs="仿宋_GB2312"/>
          <w:sz w:val="32"/>
          <w:szCs w:val="32"/>
          <w:lang w:val="en-US" w:eastAsia="zh-CN"/>
        </w:rPr>
        <w:t>人才培养、科学研究、社会服务、文化传承与创新。</w:t>
      </w:r>
    </w:p>
    <w:p>
      <w:pPr>
        <w:pStyle w:val="5"/>
        <w:adjustRightInd w:val="0"/>
        <w:snapToGrid w:val="0"/>
        <w:spacing w:before="93" w:line="600" w:lineRule="exact"/>
        <w:ind w:firstLine="672" w:firstLineChars="210"/>
        <w:outlineLvl w:val="2"/>
        <w:rPr>
          <w:rFonts w:hint="eastAsia" w:ascii="仿宋" w:hAnsi="仿宋" w:eastAsia="仿宋" w:cs="Times New Roman"/>
          <w:color w:val="000000"/>
          <w:kern w:val="2"/>
          <w:sz w:val="32"/>
          <w:szCs w:val="32"/>
          <w:lang w:val="en-US" w:eastAsia="zh-CN" w:bidi="ar-SA"/>
        </w:rPr>
      </w:pPr>
      <w:bookmarkStart w:id="18" w:name="_Toc15377199"/>
      <w:bookmarkStart w:id="19" w:name="_Toc15378446"/>
      <w:r>
        <w:rPr>
          <w:rFonts w:hint="eastAsia" w:ascii="仿宋" w:hAnsi="仿宋" w:eastAsia="仿宋" w:cs="Times New Roman"/>
          <w:color w:val="000000"/>
          <w:kern w:val="2"/>
          <w:sz w:val="32"/>
          <w:szCs w:val="32"/>
          <w:lang w:val="en-US" w:eastAsia="zh-CN" w:bidi="ar-SA"/>
        </w:rPr>
        <w:t>（二）2018年重点工作完成情况。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学院在市委、市政府的领导下，以习近平新时代中国特色社会主义思想为指导，全面贯彻党的十九大精神，围绕“四川省优质院校建设”中心工作，深化改革，转变观念、创新工作，圆满完成了2018年的目标任务：</w:t>
      </w:r>
    </w:p>
    <w:p>
      <w:pPr>
        <w:keepNext w:val="0"/>
        <w:keepLines w:val="0"/>
        <w:pageBreakBefore w:val="0"/>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60" w:lineRule="exact"/>
        <w:ind w:firstLine="640" w:firstLineChars="200"/>
        <w:jc w:val="left"/>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1、担起管党治党责任，推动从严治党向纵深发展。</w:t>
      </w:r>
    </w:p>
    <w:p>
      <w:pPr>
        <w:pStyle w:val="40"/>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2、健全校园运行管理机制，完善配套制度。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3、创新人才发展机制，推进高水平双师队伍建设。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4、以省优质院校建设为抓手，深化内涵建设。</w:t>
      </w:r>
    </w:p>
    <w:p>
      <w:pPr>
        <w:pStyle w:val="40"/>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5、落实立德树人，共建和谐校园。</w:t>
      </w:r>
    </w:p>
    <w:p>
      <w:pPr>
        <w:pStyle w:val="40"/>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6、院地合作，促进区域职教协同发展。</w:t>
      </w:r>
    </w:p>
    <w:p>
      <w:pPr>
        <w:pStyle w:val="40"/>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7、推动附属医院及奥校建设。</w:t>
      </w:r>
    </w:p>
    <w:p>
      <w:pPr>
        <w:pStyle w:val="3"/>
        <w:rPr>
          <w:rStyle w:val="34"/>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34"/>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rPr>
        <w:t>乐山职业技术学院下属二级单位（乐山职业技术学院附属医院）1个。</w:t>
      </w:r>
    </w:p>
    <w:p>
      <w:pPr>
        <w:pStyle w:val="5"/>
        <w:adjustRightInd w:val="0"/>
        <w:snapToGrid w:val="0"/>
        <w:spacing w:before="93" w:line="600" w:lineRule="exact"/>
        <w:ind w:firstLine="672" w:firstLineChars="210"/>
        <w:rPr>
          <w:rFonts w:ascii="仿宋" w:hAnsi="仿宋" w:eastAsia="仿宋"/>
          <w:color w:val="000000"/>
          <w:kern w:val="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乐山职业技术学院</w:t>
      </w:r>
      <w:r>
        <w:rPr>
          <w:rFonts w:hint="eastAsia" w:ascii="仿宋" w:hAnsi="仿宋" w:eastAsia="仿宋"/>
          <w:color w:val="000000"/>
          <w:sz w:val="32"/>
          <w:szCs w:val="32"/>
        </w:rPr>
        <w:t>2018年度部门决算编制范围的二级预算单位包括</w:t>
      </w:r>
      <w:r>
        <w:rPr>
          <w:rFonts w:hint="eastAsia" w:ascii="仿宋" w:hAnsi="仿宋" w:eastAsia="仿宋"/>
          <w:sz w:val="32"/>
          <w:szCs w:val="32"/>
        </w:rPr>
        <w:t>乐山职业技术学院附属医院</w:t>
      </w:r>
      <w:r>
        <w:rPr>
          <w:rFonts w:hint="eastAsia" w:ascii="仿宋" w:hAnsi="仿宋" w:eastAsia="仿宋"/>
          <w:sz w:val="32"/>
          <w:szCs w:val="32"/>
          <w:lang w:eastAsia="zh-CN"/>
        </w:rPr>
        <w:t>。</w:t>
      </w:r>
      <w:r>
        <w:rPr>
          <w:rFonts w:ascii="仿宋" w:hAnsi="仿宋" w:eastAsia="仿宋"/>
          <w:color w:val="000000"/>
          <w:sz w:val="32"/>
          <w:szCs w:val="32"/>
        </w:rPr>
        <w:br w:type="page"/>
      </w:r>
    </w:p>
    <w:p>
      <w:pPr>
        <w:pStyle w:val="2"/>
        <w:ind w:right="440"/>
        <w:jc w:val="right"/>
        <w:rPr>
          <w:rStyle w:val="33"/>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33"/>
          <w:rFonts w:hint="eastAsia" w:ascii="黑体" w:hAnsi="黑体" w:eastAsia="黑体"/>
          <w:b w:val="0"/>
          <w:bCs w:val="0"/>
        </w:rPr>
        <w:t>2018年度部门决算情况说明</w:t>
      </w:r>
      <w:bookmarkEnd w:id="22"/>
      <w:bookmarkEnd w:id="23"/>
    </w:p>
    <w:p>
      <w:pPr>
        <w:pStyle w:val="32"/>
        <w:numPr>
          <w:ilvl w:val="0"/>
          <w:numId w:val="3"/>
        </w:numPr>
        <w:spacing w:line="600" w:lineRule="exact"/>
        <w:ind w:firstLineChars="0"/>
        <w:outlineLvl w:val="1"/>
        <w:rPr>
          <w:rStyle w:val="34"/>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34"/>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47430.65</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15642.61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49.21</w:t>
      </w:r>
      <w:r>
        <w:rPr>
          <w:rFonts w:ascii="仿宋" w:hAnsi="仿宋" w:eastAsia="仿宋"/>
          <w:color w:val="000000"/>
          <w:sz w:val="32"/>
          <w:szCs w:val="32"/>
        </w:rPr>
        <w:t>/%</w:t>
      </w:r>
      <w:r>
        <w:rPr>
          <w:rFonts w:hint="eastAsia" w:ascii="仿宋" w:hAnsi="仿宋" w:eastAsia="仿宋"/>
          <w:color w:val="000000"/>
          <w:sz w:val="32"/>
          <w:szCs w:val="32"/>
        </w:rPr>
        <w:t>。主要变动原因是增加财政拨款用于支付新校园建设土地款</w:t>
      </w:r>
      <w:r>
        <w:rPr>
          <w:rFonts w:hint="eastAsia" w:ascii="仿宋" w:hAnsi="仿宋" w:eastAsia="仿宋"/>
          <w:color w:val="000000"/>
          <w:sz w:val="32"/>
          <w:szCs w:val="32"/>
          <w:lang w:eastAsia="zh-CN"/>
        </w:rPr>
        <w:t>，</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年初财政拨款结转数额较大</w:t>
      </w:r>
      <w:r>
        <w:rPr>
          <w:rFonts w:hint="eastAsia" w:ascii="仿宋" w:hAnsi="仿宋" w:eastAsia="仿宋"/>
          <w:color w:val="000000"/>
          <w:sz w:val="32"/>
          <w:szCs w:val="32"/>
          <w:lang w:eastAsia="zh-CN"/>
        </w:rPr>
        <w:t>。</w:t>
      </w:r>
    </w:p>
    <w:p>
      <w:pPr>
        <w:keepNext w:val="0"/>
        <w:keepLines w:val="0"/>
        <w:widowControl/>
        <w:suppressLineNumbers w:val="0"/>
        <w:jc w:val="left"/>
        <w:rPr>
          <w:rFonts w:hint="eastAsia" w:ascii="仿宋" w:hAnsi="仿宋" w:eastAsia="仿宋"/>
          <w:color w:val="000000"/>
          <w:sz w:val="32"/>
          <w:szCs w:val="32"/>
          <w:lang w:val="en-US" w:eastAsia="zh-CN"/>
        </w:rPr>
      </w:pPr>
      <w:r>
        <w:rPr>
          <w:rFonts w:ascii="宋体" w:hAnsi="宋体" w:eastAsia="宋体" w:cs="宋体"/>
          <w:kern w:val="0"/>
          <w:sz w:val="24"/>
          <w:szCs w:val="24"/>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宋体" w:hAnsi="宋体" w:cs="宋体"/>
          <w:kern w:val="0"/>
          <w:sz w:val="24"/>
          <w:szCs w:val="24"/>
          <w:lang w:val="en-US" w:eastAsia="zh-CN" w:bidi="ar"/>
        </w:rPr>
        <w:t xml:space="preserve">   </w:t>
      </w:r>
      <w:r>
        <w:rPr>
          <w:rFonts w:hint="eastAsia" w:ascii="仿宋" w:hAnsi="仿宋" w:eastAsia="仿宋"/>
          <w:color w:val="000000"/>
          <w:sz w:val="32"/>
          <w:szCs w:val="32"/>
          <w:lang w:val="en-US" w:eastAsia="zh-CN"/>
        </w:rPr>
        <w:drawing>
          <wp:inline distT="0" distB="0" distL="114300" distR="114300">
            <wp:extent cx="4019550" cy="2466975"/>
            <wp:effectExtent l="0" t="0" r="0" b="9525"/>
            <wp:docPr id="2" name="图片 2" descr="X%5`KIWC[%416KUL9NDTY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X%5`KIWC[%416KUL9NDTYBJ"/>
                    <pic:cNvPicPr>
                      <a:picLocks noChangeAspect="1"/>
                    </pic:cNvPicPr>
                  </pic:nvPicPr>
                  <pic:blipFill>
                    <a:blip r:embed="rId7"/>
                    <a:stretch>
                      <a:fillRect/>
                    </a:stretch>
                  </pic:blipFill>
                  <pic:spPr>
                    <a:xfrm>
                      <a:off x="0" y="0"/>
                      <a:ext cx="4019550" cy="2466975"/>
                    </a:xfrm>
                    <a:prstGeom prst="rect">
                      <a:avLst/>
                    </a:prstGeom>
                  </pic:spPr>
                </pic:pic>
              </a:graphicData>
            </a:graphic>
          </wp:inline>
        </w:drawing>
      </w:r>
    </w:p>
    <w:p>
      <w:pPr>
        <w:spacing w:line="6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32"/>
        <w:numPr>
          <w:ilvl w:val="0"/>
          <w:numId w:val="3"/>
        </w:numPr>
        <w:spacing w:line="600" w:lineRule="exact"/>
        <w:ind w:firstLineChars="0"/>
        <w:outlineLvl w:val="1"/>
        <w:rPr>
          <w:rStyle w:val="34"/>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34"/>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41752.24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30951.69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74.13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9977.88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23.90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822.67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1.97</w:t>
      </w:r>
      <w:r>
        <w:rPr>
          <w:rFonts w:ascii="仿宋" w:hAnsi="仿宋" w:eastAsia="仿宋"/>
          <w:color w:val="000000"/>
          <w:sz w:val="32"/>
          <w:szCs w:val="32"/>
        </w:rPr>
        <w:t>%</w:t>
      </w:r>
      <w:r>
        <w:rPr>
          <w:rFonts w:hint="eastAsia" w:ascii="仿宋" w:hAnsi="仿宋" w:eastAsia="仿宋"/>
          <w:color w:val="000000"/>
          <w:sz w:val="32"/>
          <w:szCs w:val="32"/>
        </w:rPr>
        <w:t>。</w:t>
      </w:r>
    </w:p>
    <w:p>
      <w:pPr>
        <w:spacing w:line="240" w:lineRule="auto"/>
        <w:outlineLvl w:val="1"/>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drawing>
          <wp:inline distT="0" distB="0" distL="114300" distR="114300">
            <wp:extent cx="4810125" cy="2248535"/>
            <wp:effectExtent l="0" t="0" r="9525" b="18415"/>
            <wp:docPr id="5" name="图片 5"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2"/>
                    <pic:cNvPicPr>
                      <a:picLocks noChangeAspect="1"/>
                    </pic:cNvPicPr>
                  </pic:nvPicPr>
                  <pic:blipFill>
                    <a:blip r:embed="rId8"/>
                    <a:stretch>
                      <a:fillRect/>
                    </a:stretch>
                  </pic:blipFill>
                  <pic:spPr>
                    <a:xfrm>
                      <a:off x="0" y="0"/>
                      <a:ext cx="4810125" cy="2248535"/>
                    </a:xfrm>
                    <a:prstGeom prst="rect">
                      <a:avLst/>
                    </a:prstGeom>
                  </pic:spPr>
                </pic:pic>
              </a:graphicData>
            </a:graphic>
          </wp:inline>
        </w:drawing>
      </w:r>
    </w:p>
    <w:p>
      <w:pPr>
        <w:spacing w:line="6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pStyle w:val="32"/>
        <w:numPr>
          <w:ilvl w:val="0"/>
          <w:numId w:val="3"/>
        </w:numPr>
        <w:spacing w:line="600" w:lineRule="exact"/>
        <w:ind w:firstLineChars="0"/>
        <w:outlineLvl w:val="1"/>
        <w:rPr>
          <w:rStyle w:val="34"/>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34"/>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40893.83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10806.87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26.43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30086.96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73.57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240" w:lineRule="auto"/>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067175" cy="1915160"/>
            <wp:effectExtent l="0" t="0" r="9525" b="8890"/>
            <wp:docPr id="6" name="图片 6"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3"/>
                    <pic:cNvPicPr>
                      <a:picLocks noChangeAspect="1"/>
                    </pic:cNvPicPr>
                  </pic:nvPicPr>
                  <pic:blipFill>
                    <a:blip r:embed="rId9"/>
                    <a:stretch>
                      <a:fillRect/>
                    </a:stretch>
                  </pic:blipFill>
                  <pic:spPr>
                    <a:xfrm>
                      <a:off x="0" y="0"/>
                      <a:ext cx="4067175" cy="1915160"/>
                    </a:xfrm>
                    <a:prstGeom prst="rect">
                      <a:avLst/>
                    </a:prstGeom>
                  </pic:spPr>
                </pic:pic>
              </a:graphicData>
            </a:graphic>
          </wp:inline>
        </w:drawing>
      </w:r>
    </w:p>
    <w:p>
      <w:pPr>
        <w:spacing w:line="6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outlineLvl w:val="1"/>
        <w:rPr>
          <w:rStyle w:val="34"/>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34"/>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34678.56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10761.77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w:t>
      </w:r>
      <w:r>
        <w:rPr>
          <w:rFonts w:hint="eastAsia" w:ascii="仿宋" w:hAnsi="仿宋" w:eastAsia="仿宋"/>
          <w:color w:val="000000"/>
          <w:sz w:val="32"/>
          <w:szCs w:val="32"/>
          <w:lang w:eastAsia="zh-CN"/>
        </w:rPr>
        <w:t>增加财政拨款用于支付新校园建设土地款</w:t>
      </w:r>
      <w:r>
        <w:rPr>
          <w:rFonts w:hint="eastAsia" w:ascii="仿宋" w:hAnsi="仿宋" w:eastAsia="仿宋"/>
          <w:color w:val="000000"/>
          <w:sz w:val="32"/>
          <w:szCs w:val="32"/>
        </w:rPr>
        <w:t>。</w:t>
      </w:r>
    </w:p>
    <w:p>
      <w:pPr>
        <w:spacing w:line="240" w:lineRule="auto"/>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133975" cy="2314575"/>
            <wp:effectExtent l="0" t="0" r="9525" b="9525"/>
            <wp:docPr id="7" name="图片 7"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4"/>
                    <pic:cNvPicPr>
                      <a:picLocks noChangeAspect="1"/>
                    </pic:cNvPicPr>
                  </pic:nvPicPr>
                  <pic:blipFill>
                    <a:blip r:embed="rId10"/>
                    <a:stretch>
                      <a:fillRect/>
                    </a:stretch>
                  </pic:blipFill>
                  <pic:spPr>
                    <a:xfrm>
                      <a:off x="0" y="0"/>
                      <a:ext cx="5133975" cy="2314575"/>
                    </a:xfrm>
                    <a:prstGeom prst="rect">
                      <a:avLst/>
                    </a:prstGeom>
                  </pic:spPr>
                </pic:pic>
              </a:graphicData>
            </a:graphic>
          </wp:inline>
        </w:drawing>
      </w:r>
    </w:p>
    <w:p>
      <w:pPr>
        <w:spacing w:line="6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firstLineChars="200"/>
        <w:outlineLvl w:val="1"/>
        <w:rPr>
          <w:rStyle w:val="34"/>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4"/>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30173.34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73.78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10032.83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49.81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增加财政拨款用于支付新校园建设土地款。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43500" cy="2094865"/>
            <wp:effectExtent l="0" t="0" r="0" b="635"/>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11"/>
                    <a:stretch>
                      <a:fillRect/>
                    </a:stretch>
                  </pic:blipFill>
                  <pic:spPr>
                    <a:xfrm>
                      <a:off x="0" y="0"/>
                      <a:ext cx="5143500" cy="2094865"/>
                    </a:xfrm>
                    <a:prstGeom prst="rect">
                      <a:avLst/>
                    </a:prstGeom>
                    <a:noFill/>
                    <a:ln w="9525">
                      <a:noFill/>
                    </a:ln>
                  </pic:spPr>
                </pic:pic>
              </a:graphicData>
            </a:graphic>
          </wp:inline>
        </w:drawing>
      </w: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30173.34</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29933.76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99.21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29.72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131.13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8.73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240" w:lineRule="auto"/>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4953000" cy="2105660"/>
            <wp:effectExtent l="0" t="0" r="0" b="8890"/>
            <wp:docPr id="9" name="图片 9"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6"/>
                    <pic:cNvPicPr>
                      <a:picLocks noChangeAspect="1"/>
                    </pic:cNvPicPr>
                  </pic:nvPicPr>
                  <pic:blipFill>
                    <a:blip r:embed="rId12"/>
                    <a:stretch>
                      <a:fillRect/>
                    </a:stretch>
                  </pic:blipFill>
                  <pic:spPr>
                    <a:xfrm>
                      <a:off x="0" y="0"/>
                      <a:ext cx="4953000" cy="2105660"/>
                    </a:xfrm>
                    <a:prstGeom prst="rect">
                      <a:avLst/>
                    </a:prstGeom>
                  </pic:spPr>
                </pic:pic>
              </a:graphicData>
            </a:graphic>
          </wp:inline>
        </w:drawing>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30173.34</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87.02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b/>
          <w:bCs/>
          <w:color w:val="auto"/>
          <w:sz w:val="32"/>
          <w:szCs w:val="32"/>
          <w:lang w:val="en-US" w:eastAsia="zh-CN"/>
        </w:rPr>
        <w:t>1.</w:t>
      </w:r>
      <w:r>
        <w:rPr>
          <w:rStyle w:val="15"/>
          <w:rFonts w:hint="eastAsia" w:ascii="仿宋" w:hAnsi="仿宋" w:eastAsia="仿宋"/>
          <w:b/>
          <w:bCs/>
          <w:color w:val="auto"/>
          <w:sz w:val="32"/>
          <w:szCs w:val="32"/>
        </w:rPr>
        <w:t>一般公共服务（类）</w:t>
      </w:r>
      <w:r>
        <w:rPr>
          <w:rStyle w:val="15"/>
          <w:rFonts w:hint="eastAsia" w:ascii="仿宋" w:hAnsi="仿宋" w:eastAsia="仿宋"/>
          <w:b/>
          <w:bCs/>
          <w:color w:val="auto"/>
          <w:sz w:val="32"/>
          <w:szCs w:val="32"/>
          <w:lang w:eastAsia="zh-CN"/>
        </w:rPr>
        <w:t>民族事务</w:t>
      </w:r>
      <w:r>
        <w:rPr>
          <w:rStyle w:val="15"/>
          <w:rFonts w:hint="eastAsia" w:ascii="仿宋" w:hAnsi="仿宋" w:eastAsia="仿宋"/>
          <w:b/>
          <w:bCs/>
          <w:color w:val="auto"/>
          <w:sz w:val="32"/>
          <w:szCs w:val="32"/>
        </w:rPr>
        <w:t>（款）</w:t>
      </w:r>
      <w:r>
        <w:rPr>
          <w:rStyle w:val="15"/>
          <w:rFonts w:hint="eastAsia" w:ascii="仿宋" w:hAnsi="仿宋" w:eastAsia="仿宋"/>
          <w:b/>
          <w:bCs/>
          <w:color w:val="auto"/>
          <w:sz w:val="32"/>
          <w:szCs w:val="32"/>
          <w:lang w:eastAsia="zh-CN"/>
        </w:rPr>
        <w:t>民族工作专项</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95.86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w:t>
      </w:r>
      <w:r>
        <w:rPr>
          <w:rStyle w:val="15"/>
          <w:rFonts w:hint="eastAsia" w:ascii="仿宋" w:hAnsi="仿宋" w:eastAsia="仿宋"/>
          <w:b w:val="0"/>
          <w:bCs/>
          <w:color w:val="auto"/>
          <w:sz w:val="32"/>
          <w:szCs w:val="32"/>
          <w:highlight w:val="none"/>
        </w:rPr>
        <w:t>主要原因是</w:t>
      </w:r>
      <w:r>
        <w:rPr>
          <w:rStyle w:val="15"/>
          <w:rFonts w:hint="eastAsia" w:ascii="仿宋" w:hAnsi="仿宋" w:eastAsia="仿宋"/>
          <w:b w:val="0"/>
          <w:bCs/>
          <w:color w:val="auto"/>
          <w:sz w:val="32"/>
          <w:szCs w:val="32"/>
          <w:highlight w:val="none"/>
          <w:lang w:eastAsia="zh-CN"/>
        </w:rPr>
        <w:t>部分少数民族体育运动会经费在</w:t>
      </w:r>
      <w:r>
        <w:rPr>
          <w:rStyle w:val="15"/>
          <w:rFonts w:hint="eastAsia" w:ascii="仿宋" w:hAnsi="仿宋" w:eastAsia="仿宋"/>
          <w:b w:val="0"/>
          <w:bCs/>
          <w:color w:val="auto"/>
          <w:sz w:val="32"/>
          <w:szCs w:val="32"/>
          <w:highlight w:val="none"/>
          <w:lang w:val="en-US" w:eastAsia="zh-CN"/>
        </w:rPr>
        <w:t>2019年完成支付。</w:t>
      </w:r>
    </w:p>
    <w:p>
      <w:pPr>
        <w:numPr>
          <w:ilvl w:val="0"/>
          <w:numId w:val="0"/>
        </w:numPr>
        <w:spacing w:line="600" w:lineRule="exact"/>
        <w:ind w:firstLine="643" w:firstLineChars="200"/>
        <w:rPr>
          <w:rStyle w:val="15"/>
          <w:rFonts w:hint="eastAsia" w:ascii="仿宋" w:hAnsi="仿宋" w:eastAsia="仿宋"/>
          <w:b w:val="0"/>
          <w:bCs/>
          <w:color w:val="000000"/>
          <w:sz w:val="32"/>
          <w:szCs w:val="32"/>
          <w:highlight w:val="none"/>
          <w:lang w:eastAsia="zh-CN"/>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hint="eastAsia" w:ascii="仿宋" w:hAnsi="仿宋" w:eastAsia="仿宋"/>
          <w:bCs/>
          <w:color w:val="000000"/>
          <w:sz w:val="32"/>
          <w:szCs w:val="32"/>
          <w:lang w:eastAsia="zh-CN"/>
        </w:rPr>
        <w:t>职业教育</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中专教育</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1362.33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91.86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w:t>
      </w:r>
      <w:r>
        <w:rPr>
          <w:rStyle w:val="15"/>
          <w:rFonts w:hint="eastAsia" w:ascii="仿宋" w:hAnsi="仿宋" w:eastAsia="仿宋"/>
          <w:b w:val="0"/>
          <w:bCs/>
          <w:color w:val="auto"/>
          <w:sz w:val="32"/>
          <w:szCs w:val="32"/>
          <w:highlight w:val="none"/>
        </w:rPr>
        <w:t>主要原因是</w:t>
      </w:r>
      <w:r>
        <w:rPr>
          <w:rStyle w:val="15"/>
          <w:rFonts w:hint="eastAsia" w:ascii="仿宋" w:hAnsi="仿宋" w:eastAsia="仿宋"/>
          <w:b w:val="0"/>
          <w:bCs/>
          <w:color w:val="auto"/>
          <w:sz w:val="32"/>
          <w:szCs w:val="32"/>
          <w:highlight w:val="none"/>
          <w:lang w:eastAsia="zh-CN"/>
        </w:rPr>
        <w:t>部分中职免学费经费在</w:t>
      </w:r>
      <w:r>
        <w:rPr>
          <w:rStyle w:val="15"/>
          <w:rFonts w:hint="eastAsia" w:ascii="仿宋" w:hAnsi="仿宋" w:eastAsia="仿宋"/>
          <w:b w:val="0"/>
          <w:bCs/>
          <w:color w:val="auto"/>
          <w:sz w:val="32"/>
          <w:szCs w:val="32"/>
          <w:highlight w:val="none"/>
          <w:lang w:val="en-US" w:eastAsia="zh-CN"/>
        </w:rPr>
        <w:t>2019年完成支付</w:t>
      </w:r>
      <w:r>
        <w:rPr>
          <w:rStyle w:val="15"/>
          <w:rFonts w:hint="eastAsia" w:ascii="仿宋" w:hAnsi="仿宋" w:eastAsia="仿宋"/>
          <w:b w:val="0"/>
          <w:bCs/>
          <w:color w:val="auto"/>
          <w:sz w:val="32"/>
          <w:szCs w:val="32"/>
          <w:highlight w:val="none"/>
          <w:lang w:eastAsia="zh-CN"/>
        </w:rPr>
        <w:t>。</w:t>
      </w:r>
    </w:p>
    <w:p>
      <w:pPr>
        <w:spacing w:line="600" w:lineRule="exact"/>
        <w:ind w:firstLine="643" w:firstLineChars="200"/>
        <w:rPr>
          <w:rStyle w:val="15"/>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3.教</w:t>
      </w:r>
      <w:r>
        <w:rPr>
          <w:rStyle w:val="15"/>
          <w:rFonts w:hint="eastAsia" w:ascii="仿宋" w:hAnsi="仿宋" w:eastAsia="仿宋"/>
          <w:bCs/>
          <w:color w:val="000000"/>
          <w:sz w:val="32"/>
          <w:szCs w:val="32"/>
        </w:rPr>
        <w:t>育（类）</w:t>
      </w:r>
      <w:r>
        <w:rPr>
          <w:rStyle w:val="15"/>
          <w:rFonts w:hint="eastAsia" w:ascii="仿宋" w:hAnsi="仿宋" w:eastAsia="仿宋"/>
          <w:bCs/>
          <w:color w:val="000000"/>
          <w:sz w:val="32"/>
          <w:szCs w:val="32"/>
          <w:lang w:eastAsia="zh-CN"/>
        </w:rPr>
        <w:t>职业教育</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高等职业教育</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28554.35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87.30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w:t>
      </w:r>
      <w:r>
        <w:rPr>
          <w:rStyle w:val="15"/>
          <w:rFonts w:hint="eastAsia" w:ascii="仿宋" w:hAnsi="仿宋" w:eastAsia="仿宋"/>
          <w:b w:val="0"/>
          <w:bCs/>
          <w:color w:val="auto"/>
          <w:sz w:val="32"/>
          <w:szCs w:val="32"/>
          <w:highlight w:val="none"/>
        </w:rPr>
        <w:t>主要原因是</w:t>
      </w:r>
      <w:r>
        <w:rPr>
          <w:rStyle w:val="15"/>
          <w:rFonts w:hint="eastAsia" w:ascii="仿宋" w:hAnsi="仿宋" w:eastAsia="仿宋"/>
          <w:b w:val="0"/>
          <w:bCs/>
          <w:color w:val="auto"/>
          <w:sz w:val="32"/>
          <w:szCs w:val="32"/>
          <w:highlight w:val="none"/>
          <w:lang w:eastAsia="zh-CN"/>
        </w:rPr>
        <w:t>年初预算中的年终目标奖在</w:t>
      </w:r>
      <w:r>
        <w:rPr>
          <w:rStyle w:val="15"/>
          <w:rFonts w:hint="eastAsia" w:ascii="仿宋" w:hAnsi="仿宋" w:eastAsia="仿宋"/>
          <w:b w:val="0"/>
          <w:bCs/>
          <w:color w:val="auto"/>
          <w:sz w:val="32"/>
          <w:szCs w:val="32"/>
          <w:highlight w:val="none"/>
          <w:lang w:val="en-US" w:eastAsia="zh-CN"/>
        </w:rPr>
        <w:t>2019年</w:t>
      </w:r>
      <w:r>
        <w:rPr>
          <w:rStyle w:val="15"/>
          <w:rFonts w:hint="eastAsia" w:ascii="仿宋" w:hAnsi="仿宋" w:eastAsia="仿宋"/>
          <w:b w:val="0"/>
          <w:bCs/>
          <w:color w:val="auto"/>
          <w:sz w:val="32"/>
          <w:szCs w:val="32"/>
          <w:highlight w:val="none"/>
          <w:lang w:eastAsia="zh-CN"/>
        </w:rPr>
        <w:t>实际发放；因公出国（境）项目因计划变化未按预算执行，未使用预算按规定已由财政收回；部分招标项目未完成款项支付。</w:t>
      </w:r>
    </w:p>
    <w:p>
      <w:pPr>
        <w:spacing w:line="600" w:lineRule="exact"/>
        <w:ind w:firstLine="643" w:firstLineChars="200"/>
        <w:rPr>
          <w:rStyle w:val="15"/>
          <w:rFonts w:hint="default" w:ascii="仿宋" w:hAnsi="仿宋" w:eastAsia="仿宋"/>
          <w:b w:val="0"/>
          <w:bCs/>
          <w:color w:val="auto"/>
          <w:sz w:val="32"/>
          <w:szCs w:val="32"/>
          <w:highlight w:val="none"/>
          <w:lang w:val="en-US" w:eastAsia="zh-CN"/>
        </w:rPr>
      </w:pPr>
      <w:r>
        <w:rPr>
          <w:rFonts w:hint="eastAsia" w:ascii="仿宋" w:hAnsi="仿宋" w:eastAsia="仿宋"/>
          <w:b/>
          <w:color w:val="000000"/>
          <w:sz w:val="32"/>
          <w:szCs w:val="32"/>
          <w:lang w:val="en-US" w:eastAsia="zh-CN"/>
        </w:rPr>
        <w:t>4.教</w:t>
      </w:r>
      <w:r>
        <w:rPr>
          <w:rStyle w:val="15"/>
          <w:rFonts w:hint="eastAsia" w:ascii="仿宋" w:hAnsi="仿宋" w:eastAsia="仿宋"/>
          <w:bCs/>
          <w:color w:val="000000"/>
          <w:sz w:val="32"/>
          <w:szCs w:val="32"/>
        </w:rPr>
        <w:t>育（类）</w:t>
      </w:r>
      <w:r>
        <w:rPr>
          <w:rStyle w:val="15"/>
          <w:rFonts w:hint="eastAsia" w:ascii="仿宋" w:hAnsi="仿宋" w:eastAsia="仿宋"/>
          <w:bCs/>
          <w:color w:val="000000"/>
          <w:sz w:val="32"/>
          <w:szCs w:val="32"/>
          <w:lang w:eastAsia="zh-CN"/>
        </w:rPr>
        <w:t>进修及培训</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教师进修</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10.08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40.19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w:t>
      </w:r>
      <w:r>
        <w:rPr>
          <w:rStyle w:val="15"/>
          <w:rFonts w:hint="eastAsia" w:ascii="仿宋" w:hAnsi="仿宋" w:eastAsia="仿宋"/>
          <w:b w:val="0"/>
          <w:bCs/>
          <w:color w:val="auto"/>
          <w:sz w:val="32"/>
          <w:szCs w:val="32"/>
          <w:highlight w:val="none"/>
        </w:rPr>
        <w:t>主要原因是</w:t>
      </w:r>
      <w:r>
        <w:rPr>
          <w:rStyle w:val="15"/>
          <w:rFonts w:hint="eastAsia" w:ascii="仿宋" w:hAnsi="仿宋" w:eastAsia="仿宋"/>
          <w:b w:val="0"/>
          <w:bCs/>
          <w:color w:val="auto"/>
          <w:sz w:val="32"/>
          <w:szCs w:val="32"/>
          <w:highlight w:val="none"/>
          <w:lang w:eastAsia="zh-CN"/>
        </w:rPr>
        <w:t>教师素质提升计划专项资金因年底到账，在</w:t>
      </w:r>
      <w:r>
        <w:rPr>
          <w:rStyle w:val="15"/>
          <w:rFonts w:hint="eastAsia" w:ascii="仿宋" w:hAnsi="仿宋" w:eastAsia="仿宋"/>
          <w:b w:val="0"/>
          <w:bCs/>
          <w:color w:val="auto"/>
          <w:sz w:val="32"/>
          <w:szCs w:val="32"/>
          <w:highlight w:val="none"/>
          <w:lang w:val="en-US" w:eastAsia="zh-CN"/>
        </w:rPr>
        <w:t>2019年执行预算。</w:t>
      </w:r>
    </w:p>
    <w:p>
      <w:pPr>
        <w:spacing w:line="600" w:lineRule="exact"/>
        <w:ind w:firstLine="643" w:firstLineChars="200"/>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5.教</w:t>
      </w:r>
      <w:r>
        <w:rPr>
          <w:rStyle w:val="15"/>
          <w:rFonts w:hint="eastAsia" w:ascii="仿宋" w:hAnsi="仿宋" w:eastAsia="仿宋"/>
          <w:bCs/>
          <w:color w:val="000000"/>
          <w:sz w:val="32"/>
          <w:szCs w:val="32"/>
        </w:rPr>
        <w:t>育（类）</w:t>
      </w:r>
      <w:r>
        <w:rPr>
          <w:rStyle w:val="15"/>
          <w:rFonts w:hint="eastAsia" w:ascii="仿宋" w:hAnsi="仿宋" w:eastAsia="仿宋"/>
          <w:bCs/>
          <w:color w:val="000000"/>
          <w:sz w:val="32"/>
          <w:szCs w:val="32"/>
          <w:lang w:eastAsia="zh-CN"/>
        </w:rPr>
        <w:t>教育费附加安排</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其他教育费附加安排</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val="en-US" w:eastAsia="zh-CN"/>
        </w:rPr>
        <w:t>6.教</w:t>
      </w:r>
      <w:r>
        <w:rPr>
          <w:rStyle w:val="15"/>
          <w:rFonts w:hint="eastAsia" w:ascii="仿宋" w:hAnsi="仿宋" w:eastAsia="仿宋"/>
          <w:bCs/>
          <w:color w:val="000000"/>
          <w:sz w:val="32"/>
          <w:szCs w:val="32"/>
        </w:rPr>
        <w:t>育（类）</w:t>
      </w:r>
      <w:r>
        <w:rPr>
          <w:rStyle w:val="15"/>
          <w:rFonts w:hint="eastAsia" w:ascii="仿宋" w:hAnsi="仿宋" w:eastAsia="仿宋"/>
          <w:bCs/>
          <w:color w:val="000000"/>
          <w:sz w:val="32"/>
          <w:szCs w:val="32"/>
          <w:lang w:eastAsia="zh-CN"/>
        </w:rPr>
        <w:t>其他教育</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其他教育</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科学技术（类）</w:t>
      </w:r>
      <w:r>
        <w:rPr>
          <w:rStyle w:val="15"/>
          <w:rFonts w:hint="eastAsia" w:ascii="仿宋" w:hAnsi="仿宋" w:eastAsia="仿宋"/>
          <w:bCs/>
          <w:color w:val="000000"/>
          <w:sz w:val="32"/>
          <w:szCs w:val="32"/>
          <w:lang w:eastAsia="zh-CN"/>
        </w:rPr>
        <w:t>其他科学技术</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其他科学技术</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auto"/>
          <w:sz w:val="32"/>
          <w:szCs w:val="32"/>
          <w:highlight w:val="none"/>
          <w:lang w:val="en-US" w:eastAsia="zh-CN"/>
        </w:rPr>
      </w:pPr>
      <w:r>
        <w:rPr>
          <w:rStyle w:val="15"/>
          <w:rFonts w:hint="eastAsia" w:ascii="仿宋" w:hAnsi="仿宋" w:eastAsia="仿宋"/>
          <w:bCs/>
          <w:color w:val="000000"/>
          <w:sz w:val="32"/>
          <w:szCs w:val="32"/>
          <w:lang w:val="en-US" w:eastAsia="zh-CN"/>
        </w:rPr>
        <w:t>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人力资源和社会保障管理事务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综合业务管理</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18.18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highlight w:val="none"/>
        </w:rPr>
        <w:t>决算数小于预算数的</w:t>
      </w:r>
      <w:r>
        <w:rPr>
          <w:rStyle w:val="15"/>
          <w:rFonts w:hint="eastAsia" w:ascii="仿宋" w:hAnsi="仿宋" w:eastAsia="仿宋"/>
          <w:b w:val="0"/>
          <w:bCs/>
          <w:color w:val="auto"/>
          <w:sz w:val="32"/>
          <w:szCs w:val="32"/>
          <w:highlight w:val="none"/>
        </w:rPr>
        <w:t>主要原因是</w:t>
      </w:r>
      <w:r>
        <w:rPr>
          <w:rStyle w:val="15"/>
          <w:rFonts w:hint="eastAsia" w:ascii="仿宋" w:hAnsi="仿宋" w:eastAsia="仿宋"/>
          <w:b w:val="0"/>
          <w:bCs/>
          <w:color w:val="auto"/>
          <w:sz w:val="32"/>
          <w:szCs w:val="32"/>
          <w:highlight w:val="none"/>
          <w:lang w:eastAsia="zh-CN"/>
        </w:rPr>
        <w:t>人才引进培养奖励经费在</w:t>
      </w:r>
      <w:r>
        <w:rPr>
          <w:rStyle w:val="15"/>
          <w:rFonts w:hint="eastAsia" w:ascii="仿宋" w:hAnsi="仿宋" w:eastAsia="仿宋"/>
          <w:b w:val="0"/>
          <w:bCs/>
          <w:color w:val="auto"/>
          <w:sz w:val="32"/>
          <w:szCs w:val="32"/>
          <w:highlight w:val="none"/>
          <w:lang w:val="en-US" w:eastAsia="zh-CN"/>
        </w:rPr>
        <w:t>2019年完成发放。</w:t>
      </w:r>
    </w:p>
    <w:p>
      <w:pPr>
        <w:spacing w:line="600" w:lineRule="exact"/>
        <w:ind w:firstLine="643" w:firstLineChars="200"/>
        <w:rPr>
          <w:rStyle w:val="15"/>
          <w:rFonts w:hint="eastAsia" w:ascii="仿宋" w:hAnsi="仿宋" w:eastAsia="仿宋"/>
          <w:b w:val="0"/>
          <w:bCs/>
          <w:color w:val="000000"/>
          <w:sz w:val="32"/>
          <w:szCs w:val="32"/>
          <w:lang w:eastAsia="zh-CN"/>
        </w:rPr>
      </w:pPr>
      <w:r>
        <w:rPr>
          <w:rFonts w:hint="eastAsia" w:ascii="仿宋" w:hAnsi="仿宋" w:eastAsia="仿宋"/>
          <w:b/>
          <w:color w:val="000000"/>
          <w:sz w:val="32"/>
          <w:szCs w:val="32"/>
          <w:lang w:val="en-US" w:eastAsia="zh-CN"/>
        </w:rPr>
        <w:t>9.社会保</w:t>
      </w:r>
      <w:r>
        <w:rPr>
          <w:rStyle w:val="15"/>
          <w:rFonts w:hint="eastAsia" w:ascii="仿宋" w:hAnsi="仿宋" w:eastAsia="仿宋"/>
          <w:bCs/>
          <w:color w:val="000000"/>
          <w:sz w:val="32"/>
          <w:szCs w:val="32"/>
        </w:rPr>
        <w:t>障和就业（类）</w:t>
      </w:r>
      <w:r>
        <w:rPr>
          <w:rStyle w:val="15"/>
          <w:rFonts w:hint="eastAsia" w:ascii="仿宋" w:hAnsi="仿宋" w:eastAsia="仿宋"/>
          <w:bCs/>
          <w:color w:val="000000"/>
          <w:sz w:val="32"/>
          <w:szCs w:val="32"/>
          <w:lang w:eastAsia="zh-CN"/>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其他行政事业单位离退休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w:t>
      </w:r>
      <w:r>
        <w:rPr>
          <w:rStyle w:val="15"/>
          <w:rFonts w:hint="eastAsia" w:ascii="仿宋" w:hAnsi="仿宋" w:eastAsia="仿宋"/>
          <w:b w:val="0"/>
          <w:bCs/>
          <w:color w:val="000000"/>
          <w:sz w:val="32"/>
          <w:szCs w:val="32"/>
          <w:lang w:val="en-US" w:eastAsia="zh-CN"/>
        </w:rPr>
        <w:t>9.42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10.社会保</w:t>
      </w:r>
      <w:r>
        <w:rPr>
          <w:rStyle w:val="15"/>
          <w:rFonts w:hint="eastAsia" w:ascii="仿宋" w:hAnsi="仿宋" w:eastAsia="仿宋"/>
          <w:bCs/>
          <w:color w:val="000000"/>
          <w:sz w:val="32"/>
          <w:szCs w:val="32"/>
        </w:rPr>
        <w:t>障和就业（类）</w:t>
      </w:r>
      <w:r>
        <w:rPr>
          <w:rStyle w:val="15"/>
          <w:rFonts w:hint="eastAsia" w:ascii="仿宋" w:hAnsi="仿宋" w:eastAsia="仿宋"/>
          <w:bCs/>
          <w:color w:val="000000"/>
          <w:sz w:val="32"/>
          <w:szCs w:val="32"/>
          <w:lang w:eastAsia="zh-CN"/>
        </w:rPr>
        <w:t>其他社会保障和就业支出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其他社会保障和就业支出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w:t>
      </w:r>
      <w:r>
        <w:rPr>
          <w:rStyle w:val="15"/>
          <w:rFonts w:hint="eastAsia" w:ascii="仿宋" w:hAnsi="仿宋" w:eastAsia="仿宋"/>
          <w:b w:val="0"/>
          <w:bCs/>
          <w:color w:val="000000"/>
          <w:sz w:val="32"/>
          <w:szCs w:val="32"/>
          <w:lang w:val="en-US" w:eastAsia="zh-CN"/>
        </w:rPr>
        <w:t>10.30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62.46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highlight w:val="none"/>
        </w:rPr>
        <w:t>决算数小于预算数的</w:t>
      </w:r>
      <w:r>
        <w:rPr>
          <w:rStyle w:val="15"/>
          <w:rFonts w:hint="eastAsia" w:ascii="仿宋" w:hAnsi="仿宋" w:eastAsia="仿宋"/>
          <w:b w:val="0"/>
          <w:bCs/>
          <w:color w:val="auto"/>
          <w:sz w:val="32"/>
          <w:szCs w:val="32"/>
          <w:highlight w:val="none"/>
        </w:rPr>
        <w:t>主要原因是</w:t>
      </w:r>
      <w:r>
        <w:rPr>
          <w:rStyle w:val="15"/>
          <w:rFonts w:hint="eastAsia" w:ascii="仿宋" w:hAnsi="仿宋" w:eastAsia="仿宋"/>
          <w:b w:val="0"/>
          <w:bCs/>
          <w:color w:val="auto"/>
          <w:sz w:val="32"/>
          <w:szCs w:val="32"/>
          <w:highlight w:val="none"/>
          <w:lang w:eastAsia="zh-CN"/>
        </w:rPr>
        <w:t>部分建国初期退休干部补助在预算下达前用其他预算项目发放。</w:t>
      </w:r>
    </w:p>
    <w:p>
      <w:pPr>
        <w:spacing w:line="600" w:lineRule="exact"/>
        <w:ind w:firstLine="643" w:firstLineChars="200"/>
        <w:rPr>
          <w:rStyle w:val="15"/>
          <w:rFonts w:hint="eastAsia" w:ascii="仿宋" w:hAnsi="仿宋" w:eastAsia="仿宋"/>
          <w:b w:val="0"/>
          <w:bCs/>
          <w:color w:val="auto"/>
          <w:sz w:val="32"/>
          <w:szCs w:val="32"/>
          <w:lang w:eastAsia="zh-CN"/>
        </w:rPr>
      </w:pPr>
      <w:r>
        <w:rPr>
          <w:rStyle w:val="15"/>
          <w:rFonts w:hint="eastAsia" w:ascii="仿宋" w:hAnsi="仿宋" w:eastAsia="仿宋"/>
          <w:bCs/>
          <w:color w:val="000000"/>
          <w:sz w:val="32"/>
          <w:szCs w:val="32"/>
          <w:lang w:val="en-US" w:eastAsia="zh-CN"/>
        </w:rPr>
        <w:t>11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w:t>
      </w:r>
      <w:r>
        <w:rPr>
          <w:rStyle w:val="15"/>
          <w:rFonts w:hint="eastAsia" w:ascii="仿宋" w:hAnsi="仿宋" w:eastAsia="仿宋"/>
          <w:bCs/>
          <w:color w:val="000000"/>
          <w:sz w:val="32"/>
          <w:szCs w:val="32"/>
          <w:lang w:eastAsia="zh-CN"/>
        </w:rPr>
        <w:t>公立医院</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综合医院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96.25</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p>
    <w:p>
      <w:pPr>
        <w:spacing w:line="600" w:lineRule="exact"/>
        <w:ind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val="en-US" w:eastAsia="zh-CN"/>
        </w:rPr>
        <w:t>12.医疗</w:t>
      </w:r>
      <w:r>
        <w:rPr>
          <w:rStyle w:val="15"/>
          <w:rFonts w:hint="eastAsia" w:ascii="仿宋" w:hAnsi="仿宋" w:eastAsia="仿宋"/>
          <w:bCs/>
          <w:color w:val="000000"/>
          <w:sz w:val="32"/>
          <w:szCs w:val="32"/>
        </w:rPr>
        <w:t>卫生与计划生育（类）</w:t>
      </w:r>
      <w:r>
        <w:rPr>
          <w:rStyle w:val="15"/>
          <w:rFonts w:hint="eastAsia" w:ascii="仿宋" w:hAnsi="仿宋" w:eastAsia="仿宋"/>
          <w:bCs/>
          <w:color w:val="000000"/>
          <w:sz w:val="32"/>
          <w:szCs w:val="32"/>
          <w:lang w:eastAsia="zh-CN"/>
        </w:rPr>
        <w:t>公立医院</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其他公立医院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34.88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5"/>
          <w:rFonts w:hint="eastAsia" w:ascii="仿宋" w:hAnsi="仿宋" w:eastAsia="仿宋"/>
          <w:b w:val="0"/>
          <w:bCs/>
          <w:color w:val="000000"/>
          <w:sz w:val="32"/>
          <w:szCs w:val="32"/>
          <w:lang w:eastAsia="zh-CN"/>
        </w:rPr>
      </w:pPr>
      <w:r>
        <w:rPr>
          <w:rFonts w:hint="eastAsia" w:ascii="仿宋" w:hAnsi="仿宋" w:eastAsia="仿宋"/>
          <w:b/>
          <w:color w:val="000000"/>
          <w:sz w:val="32"/>
          <w:szCs w:val="32"/>
          <w:lang w:val="en-US" w:eastAsia="zh-CN"/>
        </w:rPr>
        <w:t>13.住房保障</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住房保障</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住房公积金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8.73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34"/>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4"/>
          <w:rFonts w:hint="eastAsia" w:ascii="黑体" w:hAnsi="黑体" w:eastAsia="黑体"/>
          <w:b w:val="0"/>
        </w:rPr>
        <w:t>般公共预算财政拨款基本支出决算情况说明</w:t>
      </w:r>
      <w:bookmarkEnd w:id="40"/>
      <w:bookmarkEnd w:id="41"/>
      <w:r>
        <w:rPr>
          <w:rStyle w:val="34"/>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7254.44</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6795.56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万元，主要包括：基本工资、津贴补贴、奖金、伙食补助费、绩效工资、机关事业单位基本养老保险缴费、职业年金缴费、其他社会保障缴费、离休费、退</w:t>
      </w:r>
      <w:r>
        <w:rPr>
          <w:rFonts w:hint="eastAsia" w:ascii="仿宋" w:hAnsi="仿宋" w:eastAsia="仿宋"/>
          <w:color w:val="000000"/>
          <w:sz w:val="32"/>
          <w:szCs w:val="32"/>
          <w:lang w:eastAsia="zh-CN"/>
        </w:rPr>
        <w:t>职（役）</w:t>
      </w:r>
      <w:r>
        <w:rPr>
          <w:rFonts w:hint="eastAsia" w:ascii="仿宋" w:hAnsi="仿宋" w:eastAsia="仿宋"/>
          <w:color w:val="000000"/>
          <w:sz w:val="32"/>
          <w:szCs w:val="32"/>
        </w:rPr>
        <w:t>费、抚恤金、生活补助、医疗</w:t>
      </w:r>
      <w:r>
        <w:rPr>
          <w:rFonts w:hint="eastAsia" w:ascii="仿宋" w:hAnsi="仿宋" w:eastAsia="仿宋"/>
          <w:color w:val="000000"/>
          <w:sz w:val="32"/>
          <w:szCs w:val="32"/>
          <w:lang w:eastAsia="zh-CN"/>
        </w:rPr>
        <w:t>补助</w:t>
      </w:r>
      <w:r>
        <w:rPr>
          <w:rFonts w:hint="eastAsia" w:ascii="仿宋" w:hAnsi="仿宋" w:eastAsia="仿宋"/>
          <w:color w:val="000000"/>
          <w:sz w:val="32"/>
          <w:szCs w:val="32"/>
        </w:rPr>
        <w:t>、住房公积金、其他对个人和家庭的补助支出。</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458.87</w:t>
      </w:r>
      <w:r>
        <w:rPr>
          <w:rFonts w:hint="eastAsia" w:ascii="仿宋" w:hAnsi="仿宋" w:eastAsia="仿宋"/>
          <w:color w:val="000000"/>
          <w:sz w:val="32"/>
          <w:szCs w:val="32"/>
        </w:rPr>
        <w:t>万元，主要包括：工会经费、其他商品和服务支出。</w:t>
      </w:r>
    </w:p>
    <w:p>
      <w:pPr>
        <w:spacing w:line="600" w:lineRule="exact"/>
        <w:ind w:firstLine="640"/>
        <w:outlineLvl w:val="1"/>
        <w:rPr>
          <w:rStyle w:val="34"/>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34"/>
          <w:rFonts w:hint="eastAsia" w:ascii="黑体" w:hAnsi="黑体" w:eastAsia="黑体"/>
        </w:rPr>
        <w:t>“</w:t>
      </w:r>
      <w:r>
        <w:rPr>
          <w:rStyle w:val="34"/>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53.25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40.34</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厉行节约，响应中央八项规定，严肃财经纪律</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9.75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18.32</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28.88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54.23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14.62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27.45</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240" w:lineRule="auto"/>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462780" cy="2182495"/>
            <wp:effectExtent l="0" t="0" r="13970" b="8255"/>
            <wp:docPr id="10" name="图片 10" descr="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8"/>
                    <pic:cNvPicPr>
                      <a:picLocks noChangeAspect="1"/>
                    </pic:cNvPicPr>
                  </pic:nvPicPr>
                  <pic:blipFill>
                    <a:blip r:embed="rId13"/>
                    <a:stretch>
                      <a:fillRect/>
                    </a:stretch>
                  </pic:blipFill>
                  <pic:spPr>
                    <a:xfrm>
                      <a:off x="0" y="0"/>
                      <a:ext cx="4462780" cy="2182495"/>
                    </a:xfrm>
                    <a:prstGeom prst="rect">
                      <a:avLst/>
                    </a:prstGeom>
                  </pic:spPr>
                </pic:pic>
              </a:graphicData>
            </a:graphic>
          </wp:inline>
        </w:drawing>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：“三公”经费财政拨款支出结构</w:t>
      </w:r>
    </w:p>
    <w:p>
      <w:pPr>
        <w:spacing w:line="600" w:lineRule="exact"/>
        <w:ind w:firstLine="640"/>
        <w:rPr>
          <w:rFonts w:hint="eastAsia" w:ascii="仿宋" w:hAnsi="仿宋" w:eastAsia="仿宋"/>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 w:hAnsi="仿宋" w:eastAsia="仿宋"/>
          <w:color w:val="000000"/>
          <w:sz w:val="32"/>
          <w:szCs w:val="32"/>
          <w:lang w:val="en-US" w:eastAsia="zh-CN"/>
        </w:rPr>
        <w:t>9.75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16.25</w:t>
      </w:r>
      <w:r>
        <w:rPr>
          <w:rFonts w:hint="eastAsia" w:ascii="仿宋" w:hAnsi="仿宋" w:eastAsia="仿宋"/>
          <w:color w:val="000000"/>
          <w:sz w:val="32"/>
          <w:szCs w:val="32"/>
        </w:rPr>
        <w:t>%。全年安排因公出国（境）团组</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次，出国（境）</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人。因公出国（境）支出决算比2017年减少</w:t>
      </w:r>
      <w:r>
        <w:rPr>
          <w:rFonts w:hint="eastAsia" w:ascii="仿宋" w:hAnsi="仿宋" w:eastAsia="仿宋"/>
          <w:color w:val="000000"/>
          <w:sz w:val="32"/>
          <w:szCs w:val="32"/>
          <w:lang w:val="en-US" w:eastAsia="zh-CN"/>
        </w:rPr>
        <w:t>3.67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27.35</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厉行节约，响应中央八项规定，严肃财经纪律</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开支内容包括：</w:t>
      </w:r>
      <w:r>
        <w:rPr>
          <w:rFonts w:hint="eastAsia" w:ascii="仿宋" w:hAnsi="仿宋" w:eastAsia="仿宋"/>
          <w:color w:val="000000"/>
          <w:sz w:val="32"/>
          <w:szCs w:val="32"/>
          <w:lang w:val="en-US" w:eastAsia="zh-CN"/>
        </w:rPr>
        <w:t>1人受邀赴泰国商会大学教授《旅游业》课程，</w:t>
      </w:r>
      <w:r>
        <w:rPr>
          <w:rFonts w:hint="eastAsia" w:ascii="仿宋" w:hAnsi="仿宋" w:eastAsia="仿宋"/>
          <w:color w:val="000000"/>
          <w:sz w:val="32"/>
          <w:szCs w:val="32"/>
        </w:rPr>
        <w:t>与</w:t>
      </w:r>
      <w:r>
        <w:rPr>
          <w:rFonts w:hint="eastAsia" w:ascii="仿宋" w:hAnsi="仿宋" w:eastAsia="仿宋"/>
          <w:color w:val="000000"/>
          <w:sz w:val="32"/>
          <w:szCs w:val="32"/>
          <w:lang w:val="en-US" w:eastAsia="zh-CN"/>
        </w:rPr>
        <w:t>泰国商会大学旅游专业的</w:t>
      </w:r>
      <w:r>
        <w:rPr>
          <w:rFonts w:hint="eastAsia" w:ascii="仿宋" w:hAnsi="仿宋" w:eastAsia="仿宋"/>
          <w:color w:val="000000"/>
          <w:sz w:val="32"/>
          <w:szCs w:val="32"/>
        </w:rPr>
        <w:t>专家、</w:t>
      </w:r>
      <w:r>
        <w:rPr>
          <w:rFonts w:hint="eastAsia" w:ascii="仿宋" w:hAnsi="仿宋" w:eastAsia="仿宋"/>
          <w:color w:val="000000"/>
          <w:sz w:val="32"/>
          <w:szCs w:val="32"/>
          <w:lang w:eastAsia="zh-CN"/>
        </w:rPr>
        <w:t>教授</w:t>
      </w:r>
      <w:r>
        <w:rPr>
          <w:rFonts w:hint="eastAsia" w:ascii="仿宋" w:hAnsi="仿宋" w:eastAsia="仿宋"/>
          <w:color w:val="000000"/>
          <w:sz w:val="32"/>
          <w:szCs w:val="32"/>
        </w:rPr>
        <w:t>就</w:t>
      </w:r>
      <w:r>
        <w:rPr>
          <w:rFonts w:hint="eastAsia" w:ascii="仿宋" w:hAnsi="仿宋" w:eastAsia="仿宋"/>
          <w:color w:val="000000"/>
          <w:sz w:val="32"/>
          <w:szCs w:val="32"/>
          <w:lang w:eastAsia="zh-CN"/>
        </w:rPr>
        <w:t>旅游</w:t>
      </w:r>
      <w:r>
        <w:rPr>
          <w:rFonts w:hint="eastAsia" w:ascii="仿宋" w:hAnsi="仿宋" w:eastAsia="仿宋"/>
          <w:color w:val="000000"/>
          <w:sz w:val="32"/>
          <w:szCs w:val="32"/>
        </w:rPr>
        <w:t>行业发展</w:t>
      </w:r>
      <w:r>
        <w:rPr>
          <w:rFonts w:hint="eastAsia" w:ascii="仿宋" w:hAnsi="仿宋" w:eastAsia="仿宋"/>
          <w:color w:val="000000"/>
          <w:sz w:val="32"/>
          <w:szCs w:val="32"/>
          <w:lang w:eastAsia="zh-CN"/>
        </w:rPr>
        <w:t>现状</w:t>
      </w:r>
      <w:r>
        <w:rPr>
          <w:rFonts w:hint="eastAsia" w:ascii="仿宋" w:hAnsi="仿宋" w:eastAsia="仿宋"/>
          <w:color w:val="000000"/>
          <w:sz w:val="32"/>
          <w:szCs w:val="32"/>
        </w:rPr>
        <w:t>、人才培养等方面进行深入交流；</w:t>
      </w:r>
      <w:r>
        <w:rPr>
          <w:rFonts w:hint="eastAsia" w:ascii="仿宋" w:hAnsi="仿宋" w:eastAsia="仿宋"/>
          <w:color w:val="000000"/>
          <w:sz w:val="32"/>
          <w:szCs w:val="32"/>
          <w:lang w:val="en-US" w:eastAsia="zh-CN"/>
        </w:rPr>
        <w:t>2人赴匈牙利、波兰、捷克参加四川省教育厅组织的“魅力四川”中欧行高等教育展，与中东欧-中国进出口协会（CEECHINA）签署合作备忘录；3人赴马来西亚带领学生参加第二届亚洲地掷球运动联盟2018地掷球锦标赛，同各国参赛球队切磋技艺</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 w:hAnsi="仿宋" w:eastAsia="仿宋"/>
          <w:color w:val="000000"/>
          <w:sz w:val="32"/>
          <w:szCs w:val="32"/>
          <w:lang w:val="en-US" w:eastAsia="zh-CN"/>
        </w:rPr>
        <w:t>28.88万元,完成预算56.63%。公务用车购置及运行维护费支出决算比2017年减少21.9万元，下降43.13%。主要原因是厉行节约，响应中央八项规定，严肃财经纪律。</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 w:hAnsi="仿宋" w:eastAsia="仿宋"/>
          <w:color w:val="000000"/>
          <w:sz w:val="32"/>
          <w:szCs w:val="32"/>
          <w:lang w:val="en-US" w:eastAsia="zh-CN"/>
        </w:rPr>
        <w:t>0万元。全年按规定更新购置公务用车0辆，其中：轿车0辆、金额0万元，越野车0辆、金额0万元，载客汽车0辆、金额0万元。截至2018年12月底，单位共有公务用车13辆，其中：轿车9辆、越野车0辆、载客汽车4辆。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 w:hAnsi="仿宋" w:eastAsia="仿宋"/>
          <w:color w:val="000000"/>
          <w:sz w:val="32"/>
          <w:szCs w:val="32"/>
          <w:lang w:val="en-US" w:eastAsia="zh-CN"/>
        </w:rPr>
        <w:t>28.88万元。主要用于院校间交流、教学、招生、继续教育和社会服务等所需的公务用车燃料费、维修费、过路过桥费、保险费等支出。</w:t>
      </w:r>
    </w:p>
    <w:p>
      <w:pPr>
        <w:spacing w:line="600" w:lineRule="exact"/>
        <w:ind w:firstLine="640"/>
        <w:rPr>
          <w:rFonts w:hint="eastAsia" w:ascii="仿宋" w:hAnsi="仿宋" w:eastAsia="仿宋"/>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lang w:val="en-US" w:eastAsia="zh-CN"/>
        </w:rPr>
        <w:t>14.62万元，完成预算69.62%。公务接待费支出决算比2017年增加5.29万元，增长36.18%。主要原因是学院加强校企合作，同兄弟院校之间的学术交流与合作增加。主要用于执行公务、开展业务活动开支的交通费、住宿费、用餐费等。其中：</w:t>
      </w:r>
    </w:p>
    <w:p>
      <w:pPr>
        <w:spacing w:line="600" w:lineRule="exact"/>
        <w:ind w:firstLine="643" w:firstLineChars="200"/>
        <w:rPr>
          <w:rFonts w:hint="eastAsia" w:ascii="仿宋" w:hAnsi="仿宋" w:eastAsia="仿宋"/>
          <w:color w:val="000000"/>
          <w:sz w:val="32"/>
          <w:szCs w:val="32"/>
          <w:lang w:val="en-US"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2.26万元，外事接待10批次，93人，共计支出2.26万元，主要用于接待泰国成都领事馆、加拿大中华商会、泰国卫生部代表团、老挝琅南塔忠教育厅代表，泰国诗琳通公主一行，泰国能源科技商校、马来西亚城市理工大学、尼泊尔酒店职校、香港中文大学专家等来院进行学术访问、参观交流 。</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12.35万元，接待61批次，726人次（不包括陪同人员），共计支出12.35万元。主要用于接待浙江机电职院、达州职业技术学院、四川省质监校等省内外同类院校、中职学校等院校人员来院参观访问；接待四川省科技厅、四川省教育厅等上级部门来院检查指导工作；接待新荣记等各类企业来院洽谈校企合作事宜及其他来访人员。</w:t>
      </w:r>
    </w:p>
    <w:p>
      <w:pPr>
        <w:spacing w:line="600" w:lineRule="exact"/>
        <w:ind w:firstLine="640"/>
        <w:outlineLvl w:val="1"/>
        <w:rPr>
          <w:rStyle w:val="34"/>
          <w:rFonts w:ascii="黑体" w:hAnsi="黑体" w:eastAsia="黑体"/>
        </w:rPr>
      </w:pPr>
      <w:bookmarkStart w:id="46" w:name="_Toc15377218"/>
      <w:bookmarkStart w:id="47" w:name="_Toc15396610"/>
      <w:r>
        <w:rPr>
          <w:rFonts w:hint="eastAsia" w:ascii="黑体" w:eastAsia="黑体"/>
          <w:color w:val="000000"/>
          <w:sz w:val="32"/>
          <w:szCs w:val="32"/>
        </w:rPr>
        <w:t>八、</w:t>
      </w:r>
      <w:r>
        <w:rPr>
          <w:rStyle w:val="34"/>
          <w:rFonts w:hint="eastAsia" w:ascii="黑体" w:hAnsi="黑体" w:eastAsia="黑体"/>
          <w:b w:val="0"/>
        </w:rPr>
        <w:t>政府性基金预算支出决算情况说明</w:t>
      </w:r>
      <w:bookmarkEnd w:id="46"/>
      <w:bookmarkEnd w:id="47"/>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2018年政府性基金预算拨款支出0万元。</w:t>
      </w:r>
    </w:p>
    <w:p>
      <w:pPr>
        <w:numPr>
          <w:ilvl w:val="0"/>
          <w:numId w:val="4"/>
        </w:numPr>
        <w:spacing w:line="600" w:lineRule="exact"/>
        <w:ind w:firstLine="640"/>
        <w:outlineLvl w:val="1"/>
        <w:rPr>
          <w:rStyle w:val="34"/>
          <w:rFonts w:ascii="黑体" w:hAnsi="黑体" w:eastAsia="黑体"/>
          <w:b w:val="0"/>
        </w:rPr>
      </w:pPr>
      <w:bookmarkStart w:id="48" w:name="_Toc15396611"/>
      <w:bookmarkStart w:id="49" w:name="_Toc15377219"/>
      <w:r>
        <w:rPr>
          <w:rStyle w:val="34"/>
          <w:rFonts w:hint="eastAsia" w:ascii="黑体" w:hAnsi="黑体" w:eastAsia="黑体"/>
          <w:b w:val="0"/>
        </w:rPr>
        <w:t>国有资本经营预算支出决算情况说明</w:t>
      </w:r>
      <w:bookmarkEnd w:id="48"/>
      <w:bookmarkEnd w:id="49"/>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2018年国有资本经营预算拨款支出0万元。</w:t>
      </w:r>
    </w:p>
    <w:p>
      <w:pPr>
        <w:pStyle w:val="32"/>
        <w:numPr>
          <w:ilvl w:val="0"/>
          <w:numId w:val="5"/>
        </w:numPr>
        <w:spacing w:line="580" w:lineRule="exact"/>
        <w:ind w:firstLineChars="0"/>
        <w:rPr>
          <w:rStyle w:val="34"/>
          <w:rFonts w:ascii="黑体" w:hAnsi="黑体" w:eastAsia="黑体"/>
          <w:b w:val="0"/>
        </w:rPr>
      </w:pPr>
      <w:r>
        <w:rPr>
          <w:rStyle w:val="34"/>
          <w:rFonts w:hint="eastAsia" w:ascii="黑体" w:hAnsi="黑体" w:eastAsia="黑体"/>
          <w:b w:val="0"/>
        </w:rPr>
        <w:t>预算绩效情况说明</w:t>
      </w:r>
    </w:p>
    <w:p>
      <w:pPr>
        <w:numPr>
          <w:ilvl w:val="0"/>
          <w:numId w:val="6"/>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根据预算绩效管理要求，本部门（单位）在年初预算编制阶段，组织对8项目开展了预算事前绩效评估，对8个项目编制了绩效目标，预算执行过程中，选取5个项目开展绩效监控，年终执行完毕后，对5个项目开展了绩效目标完成情况梳理填报。</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部门按要求对2018年部门整体支出开展绩效自评，从评价情况来看预、决算编制合理，支出规范，财政支出既确保了学院正常运转，又保证了重点项目的开支。本部门还自行组织了5个项目绩效评价，从评价情况来看支出规范，完成了项目绩效目标。</w:t>
      </w:r>
    </w:p>
    <w:p>
      <w:pPr>
        <w:spacing w:line="600" w:lineRule="exact"/>
        <w:ind w:firstLine="643" w:firstLineChars="200"/>
        <w:rPr>
          <w:rFonts w:hint="eastAsia" w:ascii="仿宋" w:hAnsi="仿宋" w:eastAsia="仿宋"/>
          <w:color w:val="000000"/>
          <w:sz w:val="32"/>
          <w:szCs w:val="32"/>
          <w:lang w:val="en-US" w:eastAsia="zh-CN"/>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lang w:val="en-US" w:eastAsia="zh-CN"/>
        </w:rPr>
        <w:t xml:space="preserve"> 本部门在2018年度部门决算中反映“四川省优质院校建设项目”“困难大学生就业帮扶项目”“2018年高校共建与发展项目”“2018年学生资助补助项目”“2018年学生资助项目（按事业收入5%计提 ）”等5个项目绩效目标实际完成情况。</w:t>
      </w:r>
    </w:p>
    <w:p>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1.四川省优质院校建设项目绩效目标完成情况综述。项目全年预算数4938万元，执行数为4780万元，完成预算的96.8%。通过项目实施，我院获批教育部第三批现代学徒制试点单位；入选首批全国职业院校教师教学创新团队。教师教学能力比赛省级获奖20项；《瞄准国家战略，创新高职留学生教学模式，培养“一带一路”技术技能人才》获四川省教学成果二等奖；参建3个教育部专业教学资源库，主持5门课程的建设；立项建设1个省级技能大师工作室，2个四川省紧缺领域教师技艺技能传承创新平台（能源材料类和中药类），获批1个市级工程技术中心；立项建设1个省级虚拟仿真实训中心，1个生产性实训基地认定为国家级建设项目；成为全国首批老年照护和web前端开发1+X证书试点单位；荣获全国“挑战杯-彩虹人生”创新创效创业大赛二等奖一项；省级创新创业比赛获奖19项，成功立项四川省教育厅大学生创新创业训练项目5项。发现的主要问题：部分专业群建设对专业服务的新领域、新岗位等调研不够，缺乏对面向产业链建立人才供给优势的思考。对校企双课堂培养方式探索不够，缺乏对优质高效课堂的构建。下一步改进措施：对接区域经济发展和市场需求，优化专业群结构和专业群布局，深化办学体制改革和育人机制改革。专业群建设职业指向性强，行业认可度高、人才培养质量高、专业服务区域能力强等特色；立足地方，重点服务企业特别是中小微企业的技术研发和产品升级，加强育训结合；产教融合，进一步加强我院在多元合作、产教融合、校企合作机制机体制创新方面的建设；在合作制度、保障机制、利益分成、成果共享等方面真正体现校企双赢；形成校企人才共育、过程共管、成果共享、责任共担的紧密型合作办学体制机制及相应的示范点。积极参与“1+X”证书试点，拓展学生就业创业本领，缓解结构性就业矛盾；进一步突出我院在充分利用各种平台、智力资源、环境政策，人才反哺等方面对区域经济发展做出的杰出贡献。充分反映全院内涵建设全面提升、带动了区域职业教育共同发展，媒体宣传效果好等方面的成效、成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2.困难大学生就业帮扶项目绩效目标完成情况综述。项目全年预算数10.98万元，执行数为10.98万元，完成预算的100%。通过项目实施，切实发挥困难毕业生就业帮扶专项经费的作用，帮助困难毕业生顺利就业。</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3.2018年高校共建与发展（高职教育创新发展）项目绩效目标完成情况综述。项目全年预算数140万元，执行数为140万元，完成预算的100%。通过项目实施，充分整合院校资源，保障了“产教高度融合、校企紧密合作、社会服务能力强、管理体制机制完善、实训师资队伍水平高、教学资源丰富、产学研一体化”的生产性实训基地。促进了院校协同创新，社会服务能力显著提升。目前的主要问题：附属医院距乐山中心城区约30公里，不利于学生就近到医院见习需要，见习成本高。下一步改进措施：搬迁附属医院到学院旁边，方便学生见习，满足教学需要。</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4.2018年学生资助补助项目绩效目标完成情况综述。项目全年预算数1151.17万元，执行数为1087.24万元，完成预算的94.45%。通过项目实施，保障受到奖励的学生按时领取了国家奖学金，贫困学生及时领取国家助学金，确保学生及时受助。通过资助资金的发放，贫困生顺利完成学业，生活质量获得提高，提升了学院声誉度，社会满意度。发现的主要问题：需提高资助金额。下一步改进措施：加大受助学生感恩、励志成才教育。</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5.2018年学生资助项目（按事业收入5%计提 ）绩效目标完成情况综述。项目全年预算数225万元，执行数为212万元，完成预算的94.2%。通过项目实施，保障贫困学生及时领取学院奖助学金，勤工助学学生及时领取报酬，留学生获得生活补助，家庭经济贫困的学生及时获得临时生活困难补助，通过资助资金的发放，贫困生顺利完成学业，生活质量获得提高，提升了学院声誉度，社会满意度。发现的主要问题：资助比例需进一步增加。下一步改进措施：增加勤工助学岗位。</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2"/>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四川省</w:t>
            </w:r>
            <w:r>
              <w:rPr>
                <w:rFonts w:hint="eastAsia" w:ascii="宋体" w:hAnsi="宋体" w:cs="宋体"/>
                <w:color w:val="000000"/>
                <w:sz w:val="24"/>
              </w:rPr>
              <w:t>优质院校</w:t>
            </w:r>
            <w:r>
              <w:rPr>
                <w:rFonts w:hint="eastAsia" w:ascii="宋体" w:hAnsi="宋体" w:cs="宋体"/>
                <w:color w:val="000000"/>
                <w:sz w:val="24"/>
                <w:lang w:eastAsia="zh-CN"/>
              </w:rPr>
              <w:t>建设</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乐山职业技术学院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4938万元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4780万元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4938万元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4780万元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bookmarkStart w:id="75" w:name="_GoBack"/>
            <w:bookmarkEnd w:id="75"/>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试运行院系两级管理实施办法和实施细则。出台新的教师职称评审办法等制度。完成学分制实施方案（试行）的制定。健全理事会校企合作平台保障体系。开展酒店管理、护理、光伏材料制备技术专业现代学徒制试点工作。依托硅材料职业教育集团，建立行指委领导下的专业指导委员会，建立产教融合、校企协同育人的制度体系，基本形成专业与产业、企业与学校良性互动的机制。筹备并成立乐山市医教联合体理事会，建立理事会章程。在建专业群中选择试点专业开展校企合作共建专业。制订学院内部质量保证体系建设与运行实施方案;各部门构建自我质量保证体系;推进学院质量文化建设;启动基于校本数据的信息化管理平台建设;护理、药学、光伏材料制备技术、移动通信技术、会计、旅游管理、康复治疗技术、数控技术等8个专业试点开展教学工作诊断与改进。组建区域职教联盟，构建托管工作运行体系和运行机制。托管马边碧桂园职业中学；制定托管管理制度、托管工作实施方案，托管工作运行正常。搭建马边碧桂园职业中学业试点专业中高职衔接人才培养体系。打造8个高水平专业群。</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仿宋" w:hAnsi="仿宋" w:eastAsia="仿宋" w:cs="仿宋"/>
                <w:kern w:val="0"/>
                <w:sz w:val="24"/>
              </w:rPr>
              <w:t>运行院系两级管理实施办法和实施细则。制定并实施教师职称评审办法。试点学分制实施。健全理事会校企合作平台保障体系。开展酒店管理、护理、光伏材料制备技术专业现代学徒制试点工作。</w:t>
            </w:r>
            <w:r>
              <w:rPr>
                <w:rFonts w:hint="eastAsia" w:ascii="仿宋" w:hAnsi="仿宋" w:eastAsia="仿宋" w:cs="仿宋"/>
                <w:sz w:val="24"/>
              </w:rPr>
              <w:t>集团内新增制度体系</w:t>
            </w:r>
            <w:r>
              <w:rPr>
                <w:rFonts w:ascii="仿宋" w:hAnsi="仿宋" w:eastAsia="仿宋" w:cs="仿宋"/>
                <w:sz w:val="24"/>
              </w:rPr>
              <w:t>1</w:t>
            </w:r>
            <w:r>
              <w:rPr>
                <w:rFonts w:hint="eastAsia" w:ascii="仿宋" w:hAnsi="仿宋" w:eastAsia="仿宋" w:cs="仿宋"/>
                <w:sz w:val="24"/>
              </w:rPr>
              <w:t>套；硅材料专业指委工作资料</w:t>
            </w:r>
            <w:r>
              <w:rPr>
                <w:rFonts w:ascii="仿宋" w:hAnsi="仿宋" w:eastAsia="仿宋" w:cs="仿宋"/>
                <w:sz w:val="24"/>
              </w:rPr>
              <w:t>1</w:t>
            </w:r>
            <w:r>
              <w:rPr>
                <w:rFonts w:hint="eastAsia" w:ascii="仿宋" w:hAnsi="仿宋" w:eastAsia="仿宋" w:cs="仿宋"/>
                <w:sz w:val="24"/>
              </w:rPr>
              <w:t>套；校企合作制度体系</w:t>
            </w:r>
            <w:r>
              <w:rPr>
                <w:rFonts w:ascii="仿宋" w:hAnsi="仿宋" w:eastAsia="仿宋" w:cs="仿宋"/>
                <w:sz w:val="24"/>
              </w:rPr>
              <w:t>1</w:t>
            </w:r>
            <w:r>
              <w:rPr>
                <w:rFonts w:hint="eastAsia" w:ascii="仿宋" w:hAnsi="仿宋" w:eastAsia="仿宋" w:cs="仿宋"/>
                <w:sz w:val="24"/>
              </w:rPr>
              <w:t>套</w:t>
            </w:r>
            <w:r>
              <w:rPr>
                <w:rFonts w:hint="eastAsia" w:ascii="仿宋" w:hAnsi="仿宋" w:eastAsia="仿宋" w:cs="仿宋"/>
                <w:kern w:val="0"/>
                <w:sz w:val="24"/>
              </w:rPr>
              <w:t>。筹备并成立乐山市医教联合体理事会，建立理事会章程。在建专业群中选择试点专业开展校企合作共建专业。《乐山职业技术学院内部质量保证体系建设与运行实施方案》；各部门自我质量保证体系；学院质量文化建设成果；基于校本数据的信息化管理平台建设与使用情况；学院</w:t>
            </w:r>
            <w:r>
              <w:rPr>
                <w:rFonts w:ascii="仿宋" w:hAnsi="仿宋" w:eastAsia="仿宋" w:cs="仿宋"/>
                <w:kern w:val="0"/>
                <w:sz w:val="24"/>
              </w:rPr>
              <w:t>8</w:t>
            </w:r>
            <w:r>
              <w:rPr>
                <w:rFonts w:hint="eastAsia" w:ascii="仿宋" w:hAnsi="仿宋" w:eastAsia="仿宋" w:cs="仿宋"/>
                <w:kern w:val="0"/>
                <w:sz w:val="24"/>
              </w:rPr>
              <w:t>个专业试点开展教学工作诊断与改进推进情况。组建区域职教联盟，构建托管工作运行体系和运行机制。托管马边碧桂园职业中学。搭建马边碧桂园职业中学业试点专业中高职衔接人才培养体系。打造8个高水平专业群。</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restart"/>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专业数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48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49</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省级重点专业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高水平专业群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省级教学成果奖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参建教学资源库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省级技能大师工作室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省紧缺领域教师技艺技能传承创新平台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Cs w:val="21"/>
              </w:rPr>
              <w:t>省级及以上教学名师、技能大师(人)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Cs w:val="21"/>
              </w:rPr>
              <w:t>省级及以上教学团队、科研团队(个)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Cs w:val="21"/>
              </w:rPr>
              <w:t>省级及以上学术带头人(人)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Cs w:val="21"/>
              </w:rPr>
              <w:t>全</w:t>
            </w:r>
            <w:r>
              <w:rPr>
                <w:rFonts w:hint="eastAsia" w:ascii="宋体" w:hAnsi="宋体" w:cs="宋体"/>
                <w:szCs w:val="21"/>
              </w:rPr>
              <w:t>国职业院校技能大赛获奖数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Cs w:val="21"/>
              </w:rPr>
              <w:t>“互联网+创新创业”大赛获奖数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19</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Cs w:val="21"/>
              </w:rPr>
              <w:t>教师教学能力大赛获奖数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省级实训基地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Cs w:val="21"/>
              </w:rPr>
              <w:t>毕业生半年后就业率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90%</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X证书试点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国家级教学团队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w:t>
            </w:r>
          </w:p>
        </w:tc>
      </w:tr>
      <w:tr>
        <w:tblPrEx>
          <w:tblLayout w:type="fixed"/>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学生技能比赛省级获奖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18</w:t>
            </w: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重点建设任务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6</w:t>
            </w: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特色建设项目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国家级标志性成果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w:t>
            </w: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省级标志性成果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162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162</w:t>
            </w:r>
          </w:p>
        </w:tc>
      </w:tr>
      <w:tr>
        <w:tblPrEx>
          <w:tblLayout w:type="fixed"/>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项目完成时间节点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按任务书推进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按任务书进度要求完成</w:t>
            </w:r>
          </w:p>
        </w:tc>
      </w:tr>
      <w:tr>
        <w:tblPrEx>
          <w:tblLayout w:type="fixed"/>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预算资金使用进度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按资金投入预算表在项目建成后及时组织验收并支付资金。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按资金投入预算表在项目建成后及时组织验收并支付资金。</w:t>
            </w:r>
          </w:p>
        </w:tc>
      </w:tr>
      <w:tr>
        <w:tblPrEx>
          <w:tblLayout w:type="fixed"/>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人才培养质量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显著提高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显著提高</w:t>
            </w:r>
          </w:p>
        </w:tc>
      </w:tr>
      <w:tr>
        <w:tblPrEx>
          <w:tblLayout w:type="fixed"/>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重点专业与区域行业重点产业契合度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显著提高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显著提高</w:t>
            </w:r>
          </w:p>
        </w:tc>
      </w:tr>
      <w:tr>
        <w:tblPrEx>
          <w:tblLayout w:type="fixed"/>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学院办学声誉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显著提高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显著提高</w:t>
            </w:r>
          </w:p>
        </w:tc>
      </w:tr>
      <w:tr>
        <w:tblPrEx>
          <w:tblLayout w:type="fixed"/>
          <w:tblCellMar>
            <w:top w:w="0" w:type="dxa"/>
            <w:left w:w="0" w:type="dxa"/>
            <w:bottom w:w="0" w:type="dxa"/>
            <w:right w:w="0" w:type="dxa"/>
          </w:tblCellMar>
        </w:tblPrEx>
        <w:trPr>
          <w:trHeight w:val="1050"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Cs w:val="21"/>
              </w:rPr>
              <w:t>就业现状满意度(%)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Cs w:val="21"/>
              </w:rPr>
              <w:t>79.83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kern w:val="0"/>
                <w:szCs w:val="21"/>
              </w:rPr>
              <w:t>80</w:t>
            </w:r>
          </w:p>
        </w:tc>
      </w:tr>
      <w:tr>
        <w:tblPrEx>
          <w:tblLayout w:type="fixed"/>
          <w:tblCellMar>
            <w:top w:w="0" w:type="dxa"/>
            <w:left w:w="0" w:type="dxa"/>
            <w:bottom w:w="0" w:type="dxa"/>
            <w:right w:w="0" w:type="dxa"/>
          </w:tblCellMar>
        </w:tblPrEx>
        <w:trPr>
          <w:trHeight w:val="1050"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学生母校满意度（%）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szCs w:val="21"/>
              </w:rPr>
            </w:pPr>
            <w:r>
              <w:rPr>
                <w:rFonts w:hint="eastAsia" w:ascii="宋体" w:hAnsi="宋体" w:cs="宋体"/>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96</w:t>
            </w:r>
          </w:p>
        </w:tc>
      </w:tr>
      <w:tr>
        <w:tblPrEx>
          <w:tblLayout w:type="fixed"/>
          <w:tblCellMar>
            <w:top w:w="0" w:type="dxa"/>
            <w:left w:w="0" w:type="dxa"/>
            <w:bottom w:w="0" w:type="dxa"/>
            <w:right w:w="0" w:type="dxa"/>
          </w:tblCellMar>
        </w:tblPrEx>
        <w:trPr>
          <w:trHeight w:val="1050" w:hRule="atLeast"/>
        </w:trPr>
        <w:tc>
          <w:tcPr>
            <w:tcW w:w="39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雇主满意度（%）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szCs w:val="21"/>
              </w:rPr>
            </w:pPr>
            <w:r>
              <w:rPr>
                <w:rFonts w:hint="eastAsia" w:ascii="宋体" w:hAnsi="宋体" w:cs="宋体"/>
                <w:szCs w:val="21"/>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100%</w:t>
            </w:r>
          </w:p>
        </w:tc>
      </w:tr>
    </w:tbl>
    <w:p>
      <w:pPr>
        <w:spacing w:line="580" w:lineRule="exact"/>
        <w:ind w:firstLine="640" w:firstLineChars="200"/>
        <w:rPr>
          <w:rFonts w:hint="eastAsia" w:ascii="仿宋_GB2312" w:hAnsi="仿宋_GB2312" w:eastAsia="仿宋_GB2312" w:cs="仿宋_GB2312"/>
          <w:sz w:val="32"/>
          <w:szCs w:val="32"/>
          <w:lang w:eastAsia="zh-CN"/>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2"/>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640" w:firstLineChars="1100"/>
              <w:jc w:val="both"/>
              <w:textAlignment w:val="center"/>
              <w:rPr>
                <w:rFonts w:ascii="宋体" w:hAnsi="宋体" w:cs="宋体"/>
                <w:color w:val="000000"/>
                <w:sz w:val="24"/>
              </w:rPr>
            </w:pPr>
            <w:r>
              <w:rPr>
                <w:rFonts w:ascii="宋体" w:hAnsi="宋体" w:cs="宋体"/>
                <w:color w:val="000000"/>
                <w:sz w:val="24"/>
              </w:rPr>
              <w:t>困难大学生就业帮扶</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乐山职业技术学院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lang w:val="en-US" w:eastAsia="zh-CN"/>
              </w:rPr>
              <w:t>.</w:t>
            </w:r>
            <w:r>
              <w:rPr>
                <w:rFonts w:ascii="宋体" w:hAnsi="宋体" w:cs="宋体"/>
                <w:color w:val="000000"/>
                <w:sz w:val="24"/>
              </w:rPr>
              <w:t>98</w:t>
            </w:r>
            <w:r>
              <w:rPr>
                <w:rFonts w:hint="eastAsia" w:ascii="宋体" w:hAnsi="宋体" w:cs="宋体"/>
                <w:color w:val="000000"/>
                <w:sz w:val="24"/>
                <w:lang w:val="en-US"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lang w:val="en-US" w:eastAsia="zh-CN"/>
              </w:rPr>
              <w:t>.</w:t>
            </w:r>
            <w:r>
              <w:rPr>
                <w:rFonts w:ascii="宋体" w:hAnsi="宋体" w:cs="宋体"/>
                <w:color w:val="000000"/>
                <w:sz w:val="24"/>
              </w:rPr>
              <w:t>98</w:t>
            </w:r>
            <w:r>
              <w:rPr>
                <w:rFonts w:hint="eastAsia" w:ascii="宋体" w:hAnsi="宋体" w:cs="宋体"/>
                <w:color w:val="000000"/>
                <w:sz w:val="24"/>
                <w:lang w:val="en-US" w:eastAsia="zh-CN"/>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lang w:val="en-US" w:eastAsia="zh-CN"/>
              </w:rPr>
              <w:t>.</w:t>
            </w:r>
            <w:r>
              <w:rPr>
                <w:rFonts w:ascii="宋体" w:hAnsi="宋体" w:cs="宋体"/>
                <w:color w:val="000000"/>
                <w:sz w:val="24"/>
              </w:rPr>
              <w:t>98</w:t>
            </w:r>
            <w:r>
              <w:rPr>
                <w:rFonts w:hint="eastAsia" w:ascii="宋体" w:hAnsi="宋体" w:cs="宋体"/>
                <w:color w:val="000000"/>
                <w:sz w:val="24"/>
                <w:lang w:val="en-US"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lang w:val="en-US" w:eastAsia="zh-CN"/>
              </w:rPr>
              <w:t>.</w:t>
            </w:r>
            <w:r>
              <w:rPr>
                <w:rFonts w:ascii="宋体" w:hAnsi="宋体" w:cs="宋体"/>
                <w:color w:val="000000"/>
                <w:sz w:val="24"/>
              </w:rPr>
              <w:t>98</w:t>
            </w:r>
            <w:r>
              <w:rPr>
                <w:rFonts w:hint="eastAsia" w:ascii="宋体" w:hAnsi="宋体" w:cs="宋体"/>
                <w:color w:val="000000"/>
                <w:sz w:val="24"/>
                <w:lang w:val="en-US" w:eastAsia="zh-CN"/>
              </w:rPr>
              <w:t>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211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按照省教育厅高校学生工作处的要求，完成2018年高校毕业生就业困难帮扶工作，对183名困难毕业生进行就业帮扶。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完成183名困难毕业生的就业帮扶，将600元</w:t>
            </w:r>
            <w:r>
              <w:rPr>
                <w:rFonts w:ascii="宋体" w:hAnsi="宋体" w:cs="宋体"/>
                <w:color w:val="000000"/>
                <w:sz w:val="24"/>
              </w:rPr>
              <w:t>/</w:t>
            </w:r>
            <w:r>
              <w:rPr>
                <w:rFonts w:hint="eastAsia" w:ascii="宋体" w:hAnsi="宋体" w:cs="宋体"/>
                <w:color w:val="000000"/>
                <w:sz w:val="24"/>
              </w:rPr>
              <w:t>生的帮扶经费足额发放给困难毕业生。</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10.98万元，按600元</w:t>
            </w:r>
            <w:r>
              <w:rPr>
                <w:rFonts w:ascii="宋体" w:hAnsi="宋体" w:cs="宋体"/>
                <w:color w:val="000000"/>
                <w:sz w:val="24"/>
              </w:rPr>
              <w:t>/</w:t>
            </w:r>
            <w:r>
              <w:rPr>
                <w:rFonts w:hint="eastAsia" w:ascii="宋体" w:hAnsi="宋体" w:cs="宋体"/>
                <w:color w:val="000000"/>
                <w:sz w:val="24"/>
              </w:rPr>
              <w:t>生，发放给183名困难毕业生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完成10.98万元的困难毕业生就业帮扶资金的发放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完成10.98万元的困难毕业生就业帮扶资金的发放</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发放无差错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发放无差错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发放无差错</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促进困难毕业生顺利就业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促进困难毕业生顺利就业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促进困难毕业生顺利就业</w:t>
            </w:r>
          </w:p>
        </w:tc>
      </w:tr>
      <w:tr>
        <w:tblPrEx>
          <w:tblLayout w:type="fixed"/>
          <w:tblCellMar>
            <w:top w:w="0" w:type="dxa"/>
            <w:left w:w="0" w:type="dxa"/>
            <w:bottom w:w="0" w:type="dxa"/>
            <w:right w:w="0" w:type="dxa"/>
          </w:tblCellMar>
        </w:tblPrEx>
        <w:trPr>
          <w:trHeight w:val="7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053"/>
        <w:gridCol w:w="178"/>
        <w:gridCol w:w="12"/>
        <w:gridCol w:w="1794"/>
        <w:gridCol w:w="426"/>
        <w:gridCol w:w="323"/>
        <w:gridCol w:w="2359"/>
        <w:gridCol w:w="33"/>
      </w:tblGrid>
      <w:tr>
        <w:tblPrEx>
          <w:tblLayout w:type="fixed"/>
          <w:tblCellMar>
            <w:top w:w="0" w:type="dxa"/>
            <w:left w:w="0" w:type="dxa"/>
            <w:bottom w:w="0" w:type="dxa"/>
            <w:right w:w="0" w:type="dxa"/>
          </w:tblCellMar>
        </w:tblPrEx>
        <w:trPr>
          <w:gridAfter w:val="1"/>
          <w:wAfter w:w="33" w:type="dxa"/>
          <w:trHeight w:val="1034" w:hRule="atLeast"/>
        </w:trPr>
        <w:tc>
          <w:tcPr>
            <w:tcW w:w="9927" w:type="dxa"/>
            <w:gridSpan w:val="10"/>
            <w:tcMar>
              <w:top w:w="15" w:type="dxa"/>
              <w:left w:w="15" w:type="dxa"/>
              <w:bottom w:w="0" w:type="dxa"/>
              <w:right w:w="15" w:type="dxa"/>
            </w:tcMar>
            <w:vAlign w:val="center"/>
          </w:tcPr>
          <w:p>
            <w:pPr>
              <w:pStyle w:val="32"/>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gridAfter w:val="1"/>
          <w:wAfter w:w="33" w:type="dxa"/>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45"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2018年高校共建与发展（高职教育创新发展）专项</w:t>
            </w:r>
          </w:p>
        </w:tc>
      </w:tr>
      <w:tr>
        <w:tblPrEx>
          <w:tblLayout w:type="fixed"/>
          <w:tblCellMar>
            <w:top w:w="0" w:type="dxa"/>
            <w:left w:w="0" w:type="dxa"/>
            <w:bottom w:w="0" w:type="dxa"/>
            <w:right w:w="0" w:type="dxa"/>
          </w:tblCellMar>
        </w:tblPrEx>
        <w:trPr>
          <w:gridAfter w:val="1"/>
          <w:wAfter w:w="33" w:type="dxa"/>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45"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乐山职业技术学院</w:t>
            </w:r>
          </w:p>
        </w:tc>
      </w:tr>
      <w:tr>
        <w:tblPrEx>
          <w:tblLayout w:type="fixed"/>
          <w:tblCellMar>
            <w:top w:w="0" w:type="dxa"/>
            <w:left w:w="0" w:type="dxa"/>
            <w:bottom w:w="0" w:type="dxa"/>
            <w:right w:w="0" w:type="dxa"/>
          </w:tblCellMar>
        </w:tblPrEx>
        <w:trPr>
          <w:gridAfter w:val="1"/>
          <w:wAfter w:w="33"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140万元</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6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140万元</w:t>
            </w:r>
          </w:p>
        </w:tc>
      </w:tr>
      <w:tr>
        <w:tblPrEx>
          <w:tblLayout w:type="fixed"/>
          <w:tblCellMar>
            <w:top w:w="0" w:type="dxa"/>
            <w:left w:w="0" w:type="dxa"/>
            <w:bottom w:w="0" w:type="dxa"/>
            <w:right w:w="0" w:type="dxa"/>
          </w:tblCellMar>
        </w:tblPrEx>
        <w:trPr>
          <w:gridAfter w:val="1"/>
          <w:wAfter w:w="33" w:type="dxa"/>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140万元</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6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140万元</w:t>
            </w:r>
          </w:p>
        </w:tc>
      </w:tr>
      <w:tr>
        <w:tblPrEx>
          <w:tblLayout w:type="fixed"/>
          <w:tblCellMar>
            <w:top w:w="0" w:type="dxa"/>
            <w:left w:w="0" w:type="dxa"/>
            <w:bottom w:w="0" w:type="dxa"/>
            <w:right w:w="0" w:type="dxa"/>
          </w:tblCellMar>
        </w:tblPrEx>
        <w:trPr>
          <w:gridAfter w:val="1"/>
          <w:wAfter w:w="33" w:type="dxa"/>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6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gridAfter w:val="1"/>
          <w:wAfter w:w="33"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4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509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gridAfter w:val="1"/>
          <w:wAfter w:w="33" w:type="dxa"/>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实训室建设，师资培养，学生技能提升</w:t>
            </w:r>
          </w:p>
        </w:tc>
        <w:tc>
          <w:tcPr>
            <w:tcW w:w="509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实训室建设，师资培养，学生技能提</w:t>
            </w:r>
            <w:r>
              <w:rPr>
                <w:rFonts w:hint="eastAsia" w:ascii="宋体" w:hAnsi="宋体" w:cs="宋体"/>
                <w:color w:val="000000"/>
                <w:sz w:val="24"/>
                <w:lang w:eastAsia="zh-CN"/>
              </w:rPr>
              <w:t>升</w:t>
            </w:r>
          </w:p>
        </w:tc>
      </w:tr>
      <w:tr>
        <w:tblPrEx>
          <w:tblLayout w:type="fixed"/>
          <w:tblCellMar>
            <w:top w:w="0" w:type="dxa"/>
            <w:left w:w="0" w:type="dxa"/>
            <w:bottom w:w="0" w:type="dxa"/>
            <w:right w:w="0" w:type="dxa"/>
          </w:tblCellMar>
        </w:tblPrEx>
        <w:trPr>
          <w:gridAfter w:val="1"/>
          <w:wAfter w:w="33" w:type="dxa"/>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1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31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gridAfter w:val="1"/>
          <w:wAfter w:w="33" w:type="dxa"/>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购买设备</w:t>
            </w:r>
          </w:p>
        </w:tc>
        <w:tc>
          <w:tcPr>
            <w:tcW w:w="1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血液滤过机</w:t>
            </w:r>
            <w:r>
              <w:rPr>
                <w:rFonts w:hint="eastAsia" w:ascii="宋体" w:hAnsi="宋体" w:cs="宋体"/>
                <w:color w:val="000000"/>
                <w:sz w:val="24"/>
                <w:lang w:val="en-US" w:eastAsia="zh-CN"/>
              </w:rPr>
              <w:t>1</w:t>
            </w:r>
            <w:r>
              <w:rPr>
                <w:rFonts w:hint="eastAsia" w:ascii="宋体" w:hAnsi="宋体" w:cs="宋体"/>
                <w:color w:val="000000"/>
                <w:sz w:val="24"/>
              </w:rPr>
              <w:t>台、彩超探头1个</w:t>
            </w:r>
          </w:p>
        </w:tc>
        <w:tc>
          <w:tcPr>
            <w:tcW w:w="31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血液滤过机</w:t>
            </w:r>
            <w:r>
              <w:rPr>
                <w:rFonts w:hint="eastAsia" w:ascii="宋体" w:hAnsi="宋体" w:cs="宋体"/>
                <w:color w:val="000000"/>
                <w:sz w:val="24"/>
                <w:lang w:val="en-US" w:eastAsia="zh-CN"/>
              </w:rPr>
              <w:t>1</w:t>
            </w:r>
            <w:r>
              <w:rPr>
                <w:rFonts w:hint="eastAsia" w:ascii="宋体" w:hAnsi="宋体" w:cs="宋体"/>
                <w:color w:val="000000"/>
                <w:sz w:val="24"/>
              </w:rPr>
              <w:t>台、彩超探头1个</w:t>
            </w:r>
          </w:p>
        </w:tc>
      </w:tr>
      <w:tr>
        <w:tblPrEx>
          <w:tblLayout w:type="fixed"/>
          <w:tblCellMar>
            <w:top w:w="0" w:type="dxa"/>
            <w:left w:w="0" w:type="dxa"/>
            <w:bottom w:w="0" w:type="dxa"/>
            <w:right w:w="0" w:type="dxa"/>
          </w:tblCellMar>
        </w:tblPrEx>
        <w:trPr>
          <w:gridAfter w:val="1"/>
          <w:wAfter w:w="33"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数量指标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培训教师人数</w:t>
            </w:r>
            <w:r>
              <w:rPr>
                <w:rFonts w:hint="eastAsia" w:ascii="宋体" w:hAnsi="宋体" w:cs="宋体"/>
                <w:color w:val="000000"/>
                <w:sz w:val="24"/>
              </w:rPr>
              <w:t xml:space="preserve"> </w:t>
            </w:r>
          </w:p>
        </w:tc>
        <w:tc>
          <w:tcPr>
            <w:tcW w:w="1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外出学习、培训32</w:t>
            </w:r>
          </w:p>
        </w:tc>
        <w:tc>
          <w:tcPr>
            <w:tcW w:w="31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外出学习、培训32人</w:t>
            </w:r>
          </w:p>
        </w:tc>
      </w:tr>
      <w:tr>
        <w:tblPrEx>
          <w:tblLayout w:type="fixed"/>
          <w:tblCellMar>
            <w:top w:w="0" w:type="dxa"/>
            <w:left w:w="0" w:type="dxa"/>
            <w:bottom w:w="0" w:type="dxa"/>
            <w:right w:w="0" w:type="dxa"/>
          </w:tblCellMar>
        </w:tblPrEx>
        <w:trPr>
          <w:gridAfter w:val="1"/>
          <w:wAfter w:w="33"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学生参加比赛耗材</w:t>
            </w:r>
          </w:p>
        </w:tc>
        <w:tc>
          <w:tcPr>
            <w:tcW w:w="1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学生参加省级比赛培训资料复印9921张</w:t>
            </w:r>
          </w:p>
        </w:tc>
        <w:tc>
          <w:tcPr>
            <w:tcW w:w="31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学生参加省级比赛培训资料复印9921张</w:t>
            </w:r>
          </w:p>
        </w:tc>
      </w:tr>
      <w:tr>
        <w:tblPrEx>
          <w:tblLayout w:type="fixed"/>
          <w:tblCellMar>
            <w:top w:w="0" w:type="dxa"/>
            <w:left w:w="0" w:type="dxa"/>
            <w:bottom w:w="0" w:type="dxa"/>
            <w:right w:w="0" w:type="dxa"/>
          </w:tblCellMar>
        </w:tblPrEx>
        <w:trPr>
          <w:gridAfter w:val="1"/>
          <w:wAfter w:w="33"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完成质量</w:t>
            </w:r>
          </w:p>
        </w:tc>
        <w:tc>
          <w:tcPr>
            <w:tcW w:w="1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很好</w:t>
            </w:r>
          </w:p>
        </w:tc>
        <w:tc>
          <w:tcPr>
            <w:tcW w:w="31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很好</w:t>
            </w:r>
          </w:p>
        </w:tc>
      </w:tr>
      <w:tr>
        <w:tblPrEx>
          <w:tblLayout w:type="fixed"/>
          <w:tblCellMar>
            <w:top w:w="0" w:type="dxa"/>
            <w:left w:w="0" w:type="dxa"/>
            <w:bottom w:w="0" w:type="dxa"/>
            <w:right w:w="0" w:type="dxa"/>
          </w:tblCellMar>
        </w:tblPrEx>
        <w:trPr>
          <w:gridAfter w:val="1"/>
          <w:wAfter w:w="33"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时效指标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完成</w:t>
            </w:r>
            <w:r>
              <w:rPr>
                <w:rFonts w:hint="eastAsia" w:ascii="宋体" w:hAnsi="宋体" w:cs="宋体"/>
                <w:color w:val="000000"/>
                <w:sz w:val="24"/>
                <w:lang w:eastAsia="zh-CN"/>
              </w:rPr>
              <w:t>时间</w:t>
            </w:r>
          </w:p>
        </w:tc>
        <w:tc>
          <w:tcPr>
            <w:tcW w:w="1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按时完成</w:t>
            </w:r>
          </w:p>
        </w:tc>
        <w:tc>
          <w:tcPr>
            <w:tcW w:w="31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按时完成</w:t>
            </w:r>
          </w:p>
        </w:tc>
      </w:tr>
      <w:tr>
        <w:tblPrEx>
          <w:tblLayout w:type="fixed"/>
          <w:tblCellMar>
            <w:top w:w="0" w:type="dxa"/>
            <w:left w:w="0" w:type="dxa"/>
            <w:bottom w:w="0" w:type="dxa"/>
            <w:right w:w="0" w:type="dxa"/>
          </w:tblCellMar>
        </w:tblPrEx>
        <w:trPr>
          <w:gridAfter w:val="1"/>
          <w:wAfter w:w="33"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服务社会能力</w:t>
            </w:r>
          </w:p>
        </w:tc>
        <w:tc>
          <w:tcPr>
            <w:tcW w:w="1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显著提升</w:t>
            </w:r>
          </w:p>
        </w:tc>
        <w:tc>
          <w:tcPr>
            <w:tcW w:w="31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960" w:firstLineChars="400"/>
              <w:jc w:val="left"/>
              <w:textAlignment w:val="center"/>
              <w:rPr>
                <w:rFonts w:ascii="宋体" w:hAnsi="宋体" w:cs="宋体"/>
                <w:color w:val="000000"/>
                <w:sz w:val="24"/>
              </w:rPr>
            </w:pPr>
            <w:r>
              <w:rPr>
                <w:rFonts w:hint="eastAsia" w:ascii="宋体" w:hAnsi="宋体" w:cs="宋体"/>
                <w:color w:val="000000"/>
                <w:sz w:val="24"/>
                <w:lang w:eastAsia="zh-CN"/>
              </w:rPr>
              <w:t>显著提升</w:t>
            </w:r>
          </w:p>
        </w:tc>
      </w:tr>
      <w:tr>
        <w:tblPrEx>
          <w:tblLayout w:type="fixed"/>
          <w:tblCellMar>
            <w:top w:w="0" w:type="dxa"/>
            <w:left w:w="0" w:type="dxa"/>
            <w:bottom w:w="0" w:type="dxa"/>
            <w:right w:w="0" w:type="dxa"/>
          </w:tblCellMar>
        </w:tblPrEx>
        <w:trPr>
          <w:gridAfter w:val="1"/>
          <w:wAfter w:w="33" w:type="dxa"/>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学生满意度</w:t>
            </w:r>
          </w:p>
        </w:tc>
        <w:tc>
          <w:tcPr>
            <w:tcW w:w="1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w:t>
            </w:r>
          </w:p>
        </w:tc>
        <w:tc>
          <w:tcPr>
            <w:tcW w:w="31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w:t>
            </w:r>
          </w:p>
        </w:tc>
      </w:tr>
      <w:tr>
        <w:tblPrEx>
          <w:tblLayout w:type="fixed"/>
          <w:tblCellMar>
            <w:top w:w="0" w:type="dxa"/>
            <w:left w:w="0" w:type="dxa"/>
            <w:bottom w:w="0" w:type="dxa"/>
            <w:right w:w="0" w:type="dxa"/>
          </w:tblCellMar>
        </w:tblPrEx>
        <w:trPr>
          <w:trHeight w:val="1034" w:hRule="atLeast"/>
        </w:trPr>
        <w:tc>
          <w:tcPr>
            <w:tcW w:w="9960" w:type="dxa"/>
            <w:gridSpan w:val="11"/>
            <w:tcMar>
              <w:top w:w="15" w:type="dxa"/>
              <w:left w:w="15" w:type="dxa"/>
              <w:bottom w:w="0" w:type="dxa"/>
              <w:right w:w="15" w:type="dxa"/>
            </w:tcMar>
            <w:vAlign w:val="center"/>
          </w:tcPr>
          <w:p>
            <w:pPr>
              <w:pStyle w:val="32"/>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32"/>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eastAsia="宋体" w:cs="宋体"/>
                <w:sz w:val="24"/>
                <w:szCs w:val="24"/>
              </w:rPr>
              <w:t>学生资助补助项目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乐山职业技术学院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1151.17万元</w:t>
            </w:r>
          </w:p>
        </w:tc>
        <w:tc>
          <w:tcPr>
            <w:tcW w:w="255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1087.24万元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1151.17万元</w:t>
            </w:r>
          </w:p>
        </w:tc>
        <w:tc>
          <w:tcPr>
            <w:tcW w:w="255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1087.24万元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55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62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947"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62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完成国家奖学金，励志奖学金，国家助学金的评定与发放。</w:t>
            </w:r>
          </w:p>
        </w:tc>
        <w:tc>
          <w:tcPr>
            <w:tcW w:w="4947"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13"/>
                <w:szCs w:val="13"/>
                <w:lang w:val="en-US" w:eastAsia="zh-CN"/>
              </w:rPr>
            </w:pPr>
            <w:r>
              <w:rPr>
                <w:rFonts w:hint="eastAsia" w:ascii="宋体" w:hAnsi="宋体" w:cs="宋体"/>
                <w:color w:val="000000"/>
                <w:sz w:val="24"/>
                <w:lang w:val="en-US" w:eastAsia="zh-CN"/>
              </w:rPr>
              <w:t>完成国家奖学金，励志奖学金，国家助学金的评定与发放。</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55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数量指标</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3721</w:t>
            </w:r>
          </w:p>
        </w:tc>
        <w:tc>
          <w:tcPr>
            <w:tcW w:w="255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国家奖学金</w:t>
            </w:r>
            <w:r>
              <w:rPr>
                <w:rFonts w:hint="eastAsia" w:ascii="宋体" w:hAnsi="宋体" w:cs="宋体"/>
                <w:color w:val="000000"/>
                <w:sz w:val="24"/>
                <w:lang w:val="en-US" w:eastAsia="zh-CN"/>
              </w:rPr>
              <w:t>5人、国家励志奖学金274人、国家助学金3442人</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发放</w:t>
            </w:r>
            <w:r>
              <w:rPr>
                <w:rFonts w:hint="eastAsia" w:ascii="宋体" w:hAnsi="宋体" w:cs="宋体"/>
                <w:color w:val="000000"/>
                <w:sz w:val="24"/>
                <w:lang w:val="en-US" w:eastAsia="zh-CN"/>
              </w:rPr>
              <w:t>3721人</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通过学生个人银行卡及时发放资金</w:t>
            </w:r>
          </w:p>
        </w:tc>
        <w:tc>
          <w:tcPr>
            <w:tcW w:w="255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通过学生个人银行卡及时发放资金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通过学生个人银行卡及时发放资金</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按照一次性及学期发放</w:t>
            </w:r>
          </w:p>
        </w:tc>
        <w:tc>
          <w:tcPr>
            <w:tcW w:w="255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国家奖学金、国家励志奖学金</w:t>
            </w:r>
            <w:r>
              <w:rPr>
                <w:rFonts w:hint="eastAsia" w:ascii="宋体" w:hAnsi="宋体" w:cs="宋体"/>
                <w:color w:val="000000"/>
                <w:sz w:val="24"/>
                <w:lang w:val="en-US" w:eastAsia="zh-CN"/>
              </w:rPr>
              <w:t>11月一次性发放，国家助学金按照秋季学期和春季学期发放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发放</w:t>
            </w:r>
            <w:r>
              <w:rPr>
                <w:rFonts w:hint="eastAsia" w:ascii="宋体" w:hAnsi="宋体" w:cs="宋体"/>
                <w:color w:val="000000"/>
                <w:sz w:val="24"/>
                <w:lang w:val="en-US" w:eastAsia="zh-CN"/>
              </w:rPr>
              <w:t>3721人</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ascii="宋体" w:hAnsi="宋体" w:eastAsia="宋体" w:cs="宋体"/>
                <w:sz w:val="24"/>
                <w:szCs w:val="24"/>
              </w:rPr>
              <w:t>学生资助补助</w:t>
            </w:r>
            <w:r>
              <w:rPr>
                <w:rFonts w:hint="eastAsia" w:ascii="宋体" w:hAnsi="宋体" w:cs="宋体"/>
                <w:sz w:val="24"/>
                <w:szCs w:val="24"/>
                <w:lang w:eastAsia="zh-CN"/>
              </w:rPr>
              <w:t>资金的发放，提高了学院</w:t>
            </w:r>
            <w:r>
              <w:rPr>
                <w:rFonts w:hint="eastAsia" w:ascii="仿宋_GB2312" w:hAnsi="仿宋_GB2312" w:eastAsia="仿宋_GB2312" w:cs="仿宋_GB2312"/>
                <w:sz w:val="24"/>
                <w:szCs w:val="24"/>
                <w:lang w:eastAsia="zh-CN"/>
              </w:rPr>
              <w:t>声誉</w:t>
            </w:r>
            <w:r>
              <w:rPr>
                <w:rFonts w:hint="eastAsia" w:asciiTheme="majorEastAsia" w:hAnsiTheme="majorEastAsia" w:eastAsiaTheme="majorEastAsia" w:cstheme="majorEastAsia"/>
                <w:sz w:val="24"/>
                <w:szCs w:val="24"/>
                <w:lang w:eastAsia="zh-CN"/>
              </w:rPr>
              <w:t>度，社会满意度</w:t>
            </w:r>
          </w:p>
        </w:tc>
        <w:tc>
          <w:tcPr>
            <w:tcW w:w="255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eastAsia="宋体" w:cs="宋体"/>
                <w:sz w:val="24"/>
                <w:szCs w:val="24"/>
              </w:rPr>
              <w:t>学生资助补助</w:t>
            </w:r>
            <w:r>
              <w:rPr>
                <w:rFonts w:hint="eastAsia" w:ascii="宋体" w:hAnsi="宋体" w:cs="宋体"/>
                <w:sz w:val="24"/>
                <w:szCs w:val="24"/>
                <w:lang w:eastAsia="zh-CN"/>
              </w:rPr>
              <w:t>资金的发放，提高了学院</w:t>
            </w:r>
            <w:r>
              <w:rPr>
                <w:rFonts w:hint="eastAsia" w:ascii="仿宋_GB2312" w:hAnsi="仿宋_GB2312" w:eastAsia="仿宋_GB2312" w:cs="仿宋_GB2312"/>
                <w:sz w:val="24"/>
                <w:szCs w:val="24"/>
                <w:lang w:eastAsia="zh-CN"/>
              </w:rPr>
              <w:t>声誉</w:t>
            </w:r>
            <w:r>
              <w:rPr>
                <w:rFonts w:hint="eastAsia" w:asciiTheme="majorEastAsia" w:hAnsiTheme="majorEastAsia" w:eastAsiaTheme="majorEastAsia" w:cstheme="majorEastAsia"/>
                <w:sz w:val="24"/>
                <w:szCs w:val="24"/>
                <w:lang w:eastAsia="zh-CN"/>
              </w:rPr>
              <w:t>度，社会满意度</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eastAsia="宋体" w:cs="宋体"/>
                <w:sz w:val="24"/>
                <w:szCs w:val="24"/>
              </w:rPr>
              <w:t>学生资助补助</w:t>
            </w:r>
            <w:r>
              <w:rPr>
                <w:rFonts w:hint="eastAsia" w:ascii="宋体" w:hAnsi="宋体" w:cs="宋体"/>
                <w:sz w:val="24"/>
                <w:szCs w:val="24"/>
                <w:lang w:eastAsia="zh-CN"/>
              </w:rPr>
              <w:t>资金的发放，提高了学院</w:t>
            </w:r>
            <w:r>
              <w:rPr>
                <w:rFonts w:hint="eastAsia" w:ascii="仿宋_GB2312" w:hAnsi="仿宋_GB2312" w:eastAsia="仿宋_GB2312" w:cs="仿宋_GB2312"/>
                <w:sz w:val="24"/>
                <w:szCs w:val="24"/>
                <w:lang w:eastAsia="zh-CN"/>
              </w:rPr>
              <w:t>声誉</w:t>
            </w:r>
            <w:r>
              <w:rPr>
                <w:rFonts w:hint="eastAsia" w:asciiTheme="majorEastAsia" w:hAnsiTheme="majorEastAsia" w:eastAsiaTheme="majorEastAsia" w:cstheme="majorEastAsia"/>
                <w:sz w:val="24"/>
                <w:szCs w:val="24"/>
                <w:lang w:eastAsia="zh-CN"/>
              </w:rPr>
              <w:t>度，社会满意度</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满意度指标</w:t>
            </w:r>
          </w:p>
        </w:tc>
        <w:tc>
          <w:tcPr>
            <w:tcW w:w="22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学生满意度、社会满意度达</w:t>
            </w:r>
            <w:r>
              <w:rPr>
                <w:rFonts w:hint="eastAsia" w:ascii="宋体" w:hAnsi="宋体" w:cs="宋体"/>
                <w:color w:val="000000"/>
                <w:sz w:val="24"/>
                <w:lang w:val="en-US" w:eastAsia="zh-CN"/>
              </w:rPr>
              <w:t>100%</w:t>
            </w:r>
          </w:p>
        </w:tc>
        <w:tc>
          <w:tcPr>
            <w:tcW w:w="255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学生满意度、社会满意度达</w:t>
            </w:r>
            <w:r>
              <w:rPr>
                <w:rFonts w:hint="eastAsia" w:ascii="宋体" w:hAnsi="宋体" w:cs="宋体"/>
                <w:color w:val="000000"/>
                <w:sz w:val="24"/>
                <w:lang w:val="en-US" w:eastAsia="zh-CN"/>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学生满意度、社会满意度达</w:t>
            </w: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034" w:hRule="atLeast"/>
        </w:trPr>
        <w:tc>
          <w:tcPr>
            <w:tcW w:w="9960" w:type="dxa"/>
            <w:gridSpan w:val="11"/>
            <w:tcMar>
              <w:top w:w="15" w:type="dxa"/>
              <w:left w:w="15" w:type="dxa"/>
              <w:bottom w:w="0" w:type="dxa"/>
              <w:right w:w="15" w:type="dxa"/>
            </w:tcMar>
            <w:vAlign w:val="center"/>
          </w:tcPr>
          <w:p>
            <w:pPr>
              <w:pStyle w:val="32"/>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32"/>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eastAsia="宋体" w:cs="宋体"/>
                <w:sz w:val="24"/>
                <w:szCs w:val="24"/>
              </w:rPr>
              <w:t>学生资助项目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乐山职业技术学院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225万元</w:t>
            </w:r>
          </w:p>
        </w:tc>
        <w:tc>
          <w:tcPr>
            <w:tcW w:w="25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212万元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225万元</w:t>
            </w:r>
          </w:p>
        </w:tc>
        <w:tc>
          <w:tcPr>
            <w:tcW w:w="25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212万元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5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63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93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63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完成学院奖学金的评定与发放，对困难学生进行各类资助。</w:t>
            </w:r>
          </w:p>
        </w:tc>
        <w:tc>
          <w:tcPr>
            <w:tcW w:w="493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完成学院奖学金的评定与发放，对困难学生进行各类资助。</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5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数量指标</w:t>
            </w:r>
          </w:p>
        </w:tc>
        <w:tc>
          <w:tcPr>
            <w:tcW w:w="2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1540人</w:t>
            </w:r>
          </w:p>
        </w:tc>
        <w:tc>
          <w:tcPr>
            <w:tcW w:w="25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学院奖学金394人，留学生生活补助74人，勤工助学897人，学院助学金167人，临时生活困难补助7人，减免学费1人</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受助1540人</w:t>
            </w:r>
          </w:p>
        </w:tc>
      </w:tr>
      <w:tr>
        <w:tblPrEx>
          <w:tblLayout w:type="fixed"/>
          <w:tblCellMar>
            <w:top w:w="0" w:type="dxa"/>
            <w:left w:w="0" w:type="dxa"/>
            <w:bottom w:w="0" w:type="dxa"/>
            <w:right w:w="0" w:type="dxa"/>
          </w:tblCellMar>
        </w:tblPrEx>
        <w:trPr>
          <w:trHeight w:val="100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及时通过学生个人银行卡发放</w:t>
            </w:r>
          </w:p>
        </w:tc>
        <w:tc>
          <w:tcPr>
            <w:tcW w:w="25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及时通过学生个人银行卡发放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及时通过学生个人银行卡发放</w:t>
            </w:r>
          </w:p>
        </w:tc>
      </w:tr>
      <w:tr>
        <w:tblPrEx>
          <w:tblLayout w:type="fixed"/>
          <w:tblCellMar>
            <w:top w:w="0" w:type="dxa"/>
            <w:left w:w="0" w:type="dxa"/>
            <w:bottom w:w="0" w:type="dxa"/>
            <w:right w:w="0" w:type="dxa"/>
          </w:tblCellMar>
        </w:tblPrEx>
        <w:trPr>
          <w:trHeight w:val="91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资助资金及时发放</w:t>
            </w:r>
          </w:p>
        </w:tc>
        <w:tc>
          <w:tcPr>
            <w:tcW w:w="25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资金及时发放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资金及时发放</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ascii="宋体" w:hAnsi="宋体" w:eastAsia="宋体" w:cs="宋体"/>
                <w:sz w:val="24"/>
                <w:szCs w:val="24"/>
              </w:rPr>
              <w:t>学生资助</w:t>
            </w:r>
            <w:r>
              <w:rPr>
                <w:rFonts w:hint="eastAsia" w:ascii="宋体" w:hAnsi="宋体" w:cs="宋体"/>
                <w:sz w:val="24"/>
                <w:szCs w:val="24"/>
                <w:lang w:eastAsia="zh-CN"/>
              </w:rPr>
              <w:t>资金的发放，保障了学生生活所需，安心完成学业</w:t>
            </w:r>
          </w:p>
        </w:tc>
        <w:tc>
          <w:tcPr>
            <w:tcW w:w="25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eastAsia="宋体" w:cs="宋体"/>
                <w:sz w:val="24"/>
                <w:szCs w:val="24"/>
              </w:rPr>
              <w:t>学生资助</w:t>
            </w:r>
            <w:r>
              <w:rPr>
                <w:rFonts w:hint="eastAsia" w:ascii="宋体" w:hAnsi="宋体" w:cs="宋体"/>
                <w:sz w:val="24"/>
                <w:szCs w:val="24"/>
                <w:lang w:eastAsia="zh-CN"/>
              </w:rPr>
              <w:t>资金的发放，保障了学生生活所需，安心完成学业</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eastAsia="宋体" w:cs="宋体"/>
                <w:sz w:val="24"/>
                <w:szCs w:val="24"/>
              </w:rPr>
              <w:t>学生资助</w:t>
            </w:r>
            <w:r>
              <w:rPr>
                <w:rFonts w:hint="eastAsia" w:ascii="宋体" w:hAnsi="宋体" w:cs="宋体"/>
                <w:sz w:val="24"/>
                <w:szCs w:val="24"/>
                <w:lang w:eastAsia="zh-CN"/>
              </w:rPr>
              <w:t>资金的发放，保障了学生生活所需，安心完成学业</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满意度指标</w:t>
            </w:r>
          </w:p>
        </w:tc>
        <w:tc>
          <w:tcPr>
            <w:tcW w:w="2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学生满意度、社会满意度达</w:t>
            </w:r>
            <w:r>
              <w:rPr>
                <w:rFonts w:hint="eastAsia" w:ascii="宋体" w:hAnsi="宋体" w:cs="宋体"/>
                <w:color w:val="000000"/>
                <w:sz w:val="24"/>
                <w:lang w:val="en-US" w:eastAsia="zh-CN"/>
              </w:rPr>
              <w:t>100%</w:t>
            </w:r>
          </w:p>
        </w:tc>
        <w:tc>
          <w:tcPr>
            <w:tcW w:w="25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学生满意度、社会满意度达</w:t>
            </w:r>
            <w:r>
              <w:rPr>
                <w:rFonts w:hint="eastAsia" w:ascii="宋体" w:hAnsi="宋体" w:cs="宋体"/>
                <w:color w:val="000000"/>
                <w:sz w:val="24"/>
                <w:lang w:val="en-US" w:eastAsia="zh-CN"/>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学生满意度、社会满意度达</w:t>
            </w:r>
            <w:r>
              <w:rPr>
                <w:rFonts w:hint="eastAsia" w:ascii="宋体" w:hAnsi="宋体" w:cs="宋体"/>
                <w:color w:val="000000"/>
                <w:sz w:val="24"/>
                <w:lang w:val="en-US" w:eastAsia="zh-CN"/>
              </w:rPr>
              <w:t>100%</w:t>
            </w:r>
          </w:p>
        </w:tc>
      </w:tr>
    </w:tbl>
    <w:p>
      <w:pPr>
        <w:numPr>
          <w:ilvl w:val="0"/>
          <w:numId w:val="6"/>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本部门按要求对2018年部门整体支出绩效评价情况开展自评，《乐山职业技术学院部门2018年部门整体支出绩效评价报告》见附件。</w:t>
      </w:r>
    </w:p>
    <w:p>
      <w:pPr>
        <w:spacing w:line="600" w:lineRule="exact"/>
        <w:ind w:firstLine="800" w:firstLineChars="250"/>
        <w:outlineLvl w:val="1"/>
        <w:rPr>
          <w:rStyle w:val="34"/>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34"/>
          <w:rFonts w:hint="eastAsia" w:ascii="黑体" w:hAnsi="黑体" w:eastAsia="黑体"/>
        </w:rPr>
        <w:t>一、</w:t>
      </w:r>
      <w:r>
        <w:rPr>
          <w:rStyle w:val="34"/>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pStyle w:val="12"/>
        <w:keepNext w:val="0"/>
        <w:keepLines w:val="0"/>
        <w:widowControl/>
        <w:suppressLineNumbers w:val="0"/>
        <w:spacing w:before="0" w:beforeAutospacing="0" w:after="0" w:afterAutospacing="0" w:line="450" w:lineRule="atLeast"/>
        <w:ind w:left="0" w:right="0" w:firstLine="64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2018年，乐山职业技术学院机关运行经费支出458.75万元，比2017年增加144.1万元，增长45.80%。主要原因是新校园运行经费相应增加。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乐山职业技术学院政府采购支出总额5155万元，其中：政府采购货物支出4861万元、政府采购工程支出210万元、政府采购服务支出84万元。主要用于实训室改造、购买各类教学设施设备、新校区物业管理。授予中小企业合同金额1066.21万元，占政府采购支出总额的20.68%，其中：授予小微企业合同金额530.10万元，占政府采购支出总额的10.28%。</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截至2018年12月31日，乐山职业技术学院共有车辆16辆，其中：部级领导干部用车0辆、一般公务用车13辆、一般执法执勤用车0辆、特种专业技术用车0辆、其他用车3辆，其他用车主要是用于院校间交流、教学、招生、继续教育和社会服务；单价50万元以上通用设备4台（套），单价100万元以上专用设备5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33"/>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33"/>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1.财政拨款收入：指单位从同级财政部门取得的财政预算资金。</w:t>
      </w: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2.事业收入：指事业单位开展专业业务活动及辅助活动取得的收入。</w:t>
      </w: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3.其他收入：指单位取得的除上述收入以外的各项收入。</w:t>
      </w: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4.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5.年初结转和结余：指以前年度尚未完成、结转到本年按有关规定继续使用的资金。 </w:t>
      </w: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6.结余分配：指事业单位按照事业单位会计制度的规定从非财政补助结余中分配的事业基金和职工福利基金等。</w:t>
      </w: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7、年末结转和结余：指单位按有关规定结转到下年或以后年度继续使用的资金。</w:t>
      </w: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8.一般公共服务（类）民族事务（款）民族工作专项（项）：指反映民族事务管理方面的专项支出。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9</w:t>
      </w:r>
      <w:r>
        <w:rPr>
          <w:rFonts w:hint="default" w:ascii="仿宋" w:hAnsi="仿宋" w:eastAsia="仿宋" w:cs="Times New Roman"/>
          <w:color w:val="000000"/>
          <w:kern w:val="2"/>
          <w:sz w:val="32"/>
          <w:szCs w:val="32"/>
          <w:lang w:val="en-US" w:eastAsia="zh-CN" w:bidi="ar-SA"/>
        </w:rPr>
        <w:t>.教育（类）普通教育（款）高等教育（项）：指反映经国家批准设立的中央和省、自治区、直辖市各部门所属的全日制普通高等院校（包括研究生）的支出。政府各部门对社会中介组织等举办的各类高等院校的资助，如捐赠、补贴等，也在本科目中反映。</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10</w:t>
      </w:r>
      <w:r>
        <w:rPr>
          <w:rFonts w:hint="default" w:ascii="仿宋" w:hAnsi="仿宋" w:eastAsia="仿宋" w:cs="Times New Roman"/>
          <w:color w:val="000000"/>
          <w:kern w:val="2"/>
          <w:sz w:val="32"/>
          <w:szCs w:val="32"/>
          <w:lang w:val="en-US" w:eastAsia="zh-CN" w:bidi="ar-SA"/>
        </w:rPr>
        <w:t>.教育（类）职业教育（款）中专教育（项）：指反映各部门举办的各类中等专业学校的支出。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11</w:t>
      </w:r>
      <w:r>
        <w:rPr>
          <w:rFonts w:hint="default" w:ascii="仿宋" w:hAnsi="仿宋" w:eastAsia="仿宋" w:cs="Times New Roman"/>
          <w:color w:val="000000"/>
          <w:kern w:val="2"/>
          <w:sz w:val="32"/>
          <w:szCs w:val="32"/>
          <w:lang w:val="en-US" w:eastAsia="zh-CN" w:bidi="ar-SA"/>
        </w:rPr>
        <w:t>.教育（类）职业教育（款）高等职业教育（项）：指反映经国家批准设立的高等职业大学、专科职业教育等方面的支出。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12</w:t>
      </w:r>
      <w:r>
        <w:rPr>
          <w:rFonts w:hint="default" w:ascii="仿宋" w:hAnsi="仿宋" w:eastAsia="仿宋" w:cs="Times New Roman"/>
          <w:color w:val="000000"/>
          <w:kern w:val="2"/>
          <w:sz w:val="32"/>
          <w:szCs w:val="32"/>
          <w:lang w:val="en-US" w:eastAsia="zh-CN" w:bidi="ar-SA"/>
        </w:rPr>
        <w:t>.教育（类）</w:t>
      </w:r>
      <w:r>
        <w:rPr>
          <w:rFonts w:hint="eastAsia" w:ascii="仿宋" w:hAnsi="仿宋" w:eastAsia="仿宋" w:cs="Times New Roman"/>
          <w:color w:val="000000"/>
          <w:kern w:val="2"/>
          <w:sz w:val="32"/>
          <w:szCs w:val="32"/>
          <w:lang w:val="en-US" w:eastAsia="zh-CN" w:bidi="ar-SA"/>
        </w:rPr>
        <w:t>进修及培训</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教师进修</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教师进修、师资培训</w:t>
      </w:r>
      <w:r>
        <w:rPr>
          <w:rFonts w:hint="default" w:ascii="仿宋" w:hAnsi="仿宋" w:eastAsia="仿宋" w:cs="Times New Roman"/>
          <w:color w:val="000000"/>
          <w:kern w:val="2"/>
          <w:sz w:val="32"/>
          <w:szCs w:val="32"/>
          <w:lang w:val="en-US" w:eastAsia="zh-CN" w:bidi="ar-SA"/>
        </w:rPr>
        <w:t>的支出。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13</w:t>
      </w:r>
      <w:r>
        <w:rPr>
          <w:rFonts w:hint="default" w:ascii="仿宋" w:hAnsi="仿宋" w:eastAsia="仿宋" w:cs="Times New Roman"/>
          <w:color w:val="000000"/>
          <w:kern w:val="2"/>
          <w:sz w:val="32"/>
          <w:szCs w:val="32"/>
          <w:lang w:val="en-US" w:eastAsia="zh-CN" w:bidi="ar-SA"/>
        </w:rPr>
        <w:t>.教育（类）</w:t>
      </w:r>
      <w:r>
        <w:rPr>
          <w:rFonts w:hint="eastAsia" w:ascii="仿宋" w:hAnsi="仿宋" w:eastAsia="仿宋" w:cs="Times New Roman"/>
          <w:color w:val="000000"/>
          <w:kern w:val="2"/>
          <w:sz w:val="32"/>
          <w:szCs w:val="32"/>
          <w:lang w:val="en-US" w:eastAsia="zh-CN" w:bidi="ar-SA"/>
        </w:rPr>
        <w:t>教育费附加安排的支出</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其他教育费附加安排的支出</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上述项目以外的教育费附加支出</w:t>
      </w:r>
      <w:r>
        <w:rPr>
          <w:rFonts w:hint="default" w:ascii="仿宋" w:hAnsi="仿宋" w:eastAsia="仿宋" w:cs="Times New Roman"/>
          <w:color w:val="000000"/>
          <w:kern w:val="2"/>
          <w:sz w:val="32"/>
          <w:szCs w:val="32"/>
          <w:lang w:val="en-US" w:eastAsia="zh-CN" w:bidi="ar-SA"/>
        </w:rPr>
        <w:t>。</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14</w:t>
      </w:r>
      <w:r>
        <w:rPr>
          <w:rFonts w:hint="default" w:ascii="仿宋" w:hAnsi="仿宋" w:eastAsia="仿宋" w:cs="Times New Roman"/>
          <w:color w:val="000000"/>
          <w:kern w:val="2"/>
          <w:sz w:val="32"/>
          <w:szCs w:val="32"/>
          <w:lang w:val="en-US" w:eastAsia="zh-CN" w:bidi="ar-SA"/>
        </w:rPr>
        <w:t>.教育（类）</w:t>
      </w:r>
      <w:r>
        <w:rPr>
          <w:rFonts w:hint="eastAsia" w:ascii="仿宋" w:hAnsi="仿宋" w:eastAsia="仿宋" w:cs="Times New Roman"/>
          <w:color w:val="000000"/>
          <w:kern w:val="2"/>
          <w:sz w:val="32"/>
          <w:szCs w:val="32"/>
          <w:lang w:val="en-US" w:eastAsia="zh-CN" w:bidi="ar-SA"/>
        </w:rPr>
        <w:t>其他教育支出</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其他教育支出</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上述项目以外其他用于教育方面的支出</w:t>
      </w:r>
      <w:r>
        <w:rPr>
          <w:rFonts w:hint="default" w:ascii="仿宋" w:hAnsi="仿宋" w:eastAsia="仿宋" w:cs="Times New Roman"/>
          <w:color w:val="000000"/>
          <w:kern w:val="2"/>
          <w:sz w:val="32"/>
          <w:szCs w:val="32"/>
          <w:lang w:val="en-US" w:eastAsia="zh-CN" w:bidi="ar-SA"/>
        </w:rPr>
        <w:t>。</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15</w:t>
      </w:r>
      <w:r>
        <w:rPr>
          <w:rFonts w:hint="default" w:ascii="仿宋" w:hAnsi="仿宋" w:eastAsia="仿宋" w:cs="Times New Roman"/>
          <w:color w:val="000000"/>
          <w:kern w:val="2"/>
          <w:sz w:val="32"/>
          <w:szCs w:val="32"/>
          <w:lang w:val="en-US" w:eastAsia="zh-CN" w:bidi="ar-SA"/>
        </w:rPr>
        <w:t>.科学技术（类）技术研究与开发（款）应用技术研究与开发（项）：指反映从事技术开发研究和近期可望取得实用价值的专项技术开发研究和支出。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16</w:t>
      </w:r>
      <w:r>
        <w:rPr>
          <w:rFonts w:hint="default" w:ascii="仿宋" w:hAnsi="仿宋" w:eastAsia="仿宋" w:cs="Times New Roman"/>
          <w:color w:val="000000"/>
          <w:kern w:val="2"/>
          <w:sz w:val="32"/>
          <w:szCs w:val="32"/>
          <w:lang w:val="en-US" w:eastAsia="zh-CN" w:bidi="ar-SA"/>
        </w:rPr>
        <w:t>.科学技术（类）科技条件与服务（款）其他科技条件与服务（项）：指反映除“机构运行”、“技术创新服务体系”、“科技条件专项”项目以外其他用于科技条件与服务方面的支出。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17</w:t>
      </w:r>
      <w:r>
        <w:rPr>
          <w:rFonts w:hint="default" w:ascii="仿宋" w:hAnsi="仿宋" w:eastAsia="仿宋" w:cs="Times New Roman"/>
          <w:color w:val="000000"/>
          <w:kern w:val="2"/>
          <w:sz w:val="32"/>
          <w:szCs w:val="32"/>
          <w:lang w:val="en-US" w:eastAsia="zh-CN" w:bidi="ar-SA"/>
        </w:rPr>
        <w:t>.科学技术（类）其他科学技术（款）其他科学技术（项）：指反映其他科学技术支出中除“科技奖励”、“核应急”、“转制科研机构”外用于科技方面的支出。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18</w:t>
      </w:r>
      <w:r>
        <w:rPr>
          <w:rFonts w:hint="default" w:ascii="仿宋" w:hAnsi="仿宋" w:eastAsia="仿宋" w:cs="Times New Roman"/>
          <w:color w:val="000000"/>
          <w:kern w:val="2"/>
          <w:sz w:val="32"/>
          <w:szCs w:val="32"/>
          <w:lang w:val="en-US" w:eastAsia="zh-CN" w:bidi="ar-SA"/>
        </w:rPr>
        <w:t>.社会保障和就业（类）</w:t>
      </w:r>
      <w:r>
        <w:rPr>
          <w:rFonts w:hint="eastAsia" w:ascii="仿宋" w:hAnsi="仿宋" w:eastAsia="仿宋" w:cs="Times New Roman"/>
          <w:color w:val="000000"/>
          <w:kern w:val="2"/>
          <w:sz w:val="32"/>
          <w:szCs w:val="32"/>
          <w:lang w:val="en-US" w:eastAsia="zh-CN" w:bidi="ar-SA"/>
        </w:rPr>
        <w:t>人力资源和社会保障管理事务</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综合业务</w:t>
      </w:r>
      <w:r>
        <w:rPr>
          <w:rFonts w:hint="default" w:ascii="仿宋" w:hAnsi="仿宋" w:eastAsia="仿宋" w:cs="Times New Roman"/>
          <w:color w:val="000000"/>
          <w:kern w:val="2"/>
          <w:sz w:val="32"/>
          <w:szCs w:val="32"/>
          <w:lang w:val="en-US" w:eastAsia="zh-CN" w:bidi="ar-SA"/>
        </w:rPr>
        <w:t>（项）：反映</w:t>
      </w:r>
      <w:r>
        <w:rPr>
          <w:rFonts w:hint="eastAsia" w:ascii="仿宋" w:hAnsi="仿宋" w:eastAsia="仿宋" w:cs="Times New Roman"/>
          <w:color w:val="000000"/>
          <w:kern w:val="2"/>
          <w:sz w:val="32"/>
          <w:szCs w:val="32"/>
          <w:lang w:val="en-US" w:eastAsia="zh-CN" w:bidi="ar-SA"/>
        </w:rPr>
        <w:t>人力资源和社会保障管理方面综合性管理事务</w:t>
      </w:r>
      <w:r>
        <w:rPr>
          <w:rFonts w:hint="default" w:ascii="仿宋" w:hAnsi="仿宋" w:eastAsia="仿宋" w:cs="Times New Roman"/>
          <w:color w:val="000000"/>
          <w:kern w:val="2"/>
          <w:sz w:val="32"/>
          <w:szCs w:val="32"/>
          <w:lang w:val="en-US" w:eastAsia="zh-CN" w:bidi="ar-SA"/>
        </w:rPr>
        <w:t>支出</w:t>
      </w:r>
      <w:r>
        <w:rPr>
          <w:rFonts w:hint="eastAsia" w:ascii="仿宋" w:hAnsi="仿宋" w:eastAsia="仿宋" w:cs="Times New Roman"/>
          <w:color w:val="000000"/>
          <w:kern w:val="2"/>
          <w:sz w:val="32"/>
          <w:szCs w:val="32"/>
          <w:lang w:val="en-US" w:eastAsia="zh-CN" w:bidi="ar-SA"/>
        </w:rPr>
        <w:t>。</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19</w:t>
      </w:r>
      <w:r>
        <w:rPr>
          <w:rFonts w:hint="default" w:ascii="仿宋" w:hAnsi="仿宋" w:eastAsia="仿宋" w:cs="Times New Roman"/>
          <w:color w:val="000000"/>
          <w:kern w:val="2"/>
          <w:sz w:val="32"/>
          <w:szCs w:val="32"/>
          <w:lang w:val="en-US" w:eastAsia="zh-CN" w:bidi="ar-SA"/>
        </w:rPr>
        <w:t>.社会保障和就业（类）行政事业单位离退休（款）机关事业单位基本养老保险缴费支出（项）：反映机关事业单位实施养老保险制度由单位缴纳的基本养老保险支出。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20</w:t>
      </w:r>
      <w:r>
        <w:rPr>
          <w:rFonts w:hint="default" w:ascii="仿宋" w:hAnsi="仿宋" w:eastAsia="仿宋" w:cs="Times New Roman"/>
          <w:color w:val="000000"/>
          <w:kern w:val="2"/>
          <w:sz w:val="32"/>
          <w:szCs w:val="32"/>
          <w:lang w:val="en-US" w:eastAsia="zh-CN" w:bidi="ar-SA"/>
        </w:rPr>
        <w:t>.社会保障和就业（类）行政事业单位离退休（款）机关事业单位职业年金缴费支出（项）：指反映机关事业单位实施养老保险制度由单位实际缴纳的职业年金支出。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21</w:t>
      </w:r>
      <w:r>
        <w:rPr>
          <w:rFonts w:hint="default" w:ascii="仿宋" w:hAnsi="仿宋" w:eastAsia="仿宋" w:cs="Times New Roman"/>
          <w:color w:val="000000"/>
          <w:kern w:val="2"/>
          <w:sz w:val="32"/>
          <w:szCs w:val="32"/>
          <w:lang w:val="en-US" w:eastAsia="zh-CN" w:bidi="ar-SA"/>
        </w:rPr>
        <w:t>.社会保障和就业（类）行政事业单位离退休（款）其他行政事业单位离退休支出（项）：指反映除“归口管理的行政单位离退休”、“事业单位离退休”、“离退休人员管理机构”、“未归口管理的行政单位离退休”“机关事业单位基本养老保险缴费支出”、“机关事业单位职业年金缴费支出”、“机关事业单位基本养老保险基金的补助支出”外其他用于行政事业单位离退休方面的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22</w:t>
      </w:r>
      <w:r>
        <w:rPr>
          <w:rFonts w:hint="default" w:ascii="仿宋" w:hAnsi="仿宋" w:eastAsia="仿宋" w:cs="Times New Roman"/>
          <w:color w:val="000000"/>
          <w:kern w:val="2"/>
          <w:sz w:val="32"/>
          <w:szCs w:val="32"/>
          <w:lang w:val="en-US" w:eastAsia="zh-CN" w:bidi="ar-SA"/>
        </w:rPr>
        <w:t>.社会保障和就业（类）其他社会保障和就业（款）其他社会保障和就业支出（项）：指反映除上述项目以外其他用于社会保障和就业方面的支出。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23</w:t>
      </w:r>
      <w:r>
        <w:rPr>
          <w:rFonts w:hint="default" w:ascii="仿宋" w:hAnsi="仿宋" w:eastAsia="仿宋" w:cs="Times New Roman"/>
          <w:color w:val="000000"/>
          <w:kern w:val="2"/>
          <w:sz w:val="32"/>
          <w:szCs w:val="32"/>
          <w:lang w:val="en-US" w:eastAsia="zh-CN" w:bidi="ar-SA"/>
        </w:rPr>
        <w:t>.医疗卫生和计划生育（类）行政事业单位医疗（款）事业单位医疗（项）：反映财政部门集中安排的事业单位基本医疗保险缴费经费，未参加医疗保险的事业单位的公费医疗经费，按国家规定享受离休人员待遇的医疗经费。</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24</w:t>
      </w:r>
      <w:r>
        <w:rPr>
          <w:rFonts w:hint="default" w:ascii="仿宋" w:hAnsi="仿宋" w:eastAsia="仿宋" w:cs="Times New Roman"/>
          <w:color w:val="000000"/>
          <w:kern w:val="2"/>
          <w:sz w:val="32"/>
          <w:szCs w:val="32"/>
          <w:lang w:val="en-US" w:eastAsia="zh-CN" w:bidi="ar-SA"/>
        </w:rPr>
        <w:t>.医疗卫生和计划生育（类）公立医院（款）综合医院（项）：指反映卫生和计划生育、中医部门所属的城市综合性医院、独立门诊、教学医院、养老院和县医院的支出。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25</w:t>
      </w:r>
      <w:r>
        <w:rPr>
          <w:rFonts w:hint="default" w:ascii="仿宋" w:hAnsi="仿宋" w:eastAsia="仿宋" w:cs="Times New Roman"/>
          <w:color w:val="000000"/>
          <w:kern w:val="2"/>
          <w:sz w:val="32"/>
          <w:szCs w:val="32"/>
          <w:lang w:val="en-US" w:eastAsia="zh-CN" w:bidi="ar-SA"/>
        </w:rPr>
        <w:t>.医疗卫生和计划生育（类）公立医院（款）其他公立医院支出（项）：指反映“综合医院”、“中医（民族）医院”等项目以外其他用于公立医院方面的支出。</w:t>
      </w:r>
    </w:p>
    <w:p>
      <w:pPr>
        <w:pStyle w:val="31"/>
        <w:spacing w:line="560" w:lineRule="exact"/>
        <w:ind w:firstLine="640" w:firstLineChars="20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26</w:t>
      </w:r>
      <w:r>
        <w:rPr>
          <w:rFonts w:hint="default" w:ascii="仿宋" w:hAnsi="仿宋" w:eastAsia="仿宋" w:cs="Times New Roman"/>
          <w:color w:val="000000"/>
          <w:kern w:val="2"/>
          <w:sz w:val="32"/>
          <w:szCs w:val="32"/>
          <w:lang w:val="en-US" w:eastAsia="zh-CN" w:bidi="ar-SA"/>
        </w:rPr>
        <w:t>.</w:t>
      </w:r>
      <w:r>
        <w:rPr>
          <w:rFonts w:hint="eastAsia" w:ascii="仿宋" w:hAnsi="仿宋" w:eastAsia="仿宋" w:cs="Times New Roman"/>
          <w:color w:val="000000"/>
          <w:kern w:val="2"/>
          <w:sz w:val="32"/>
          <w:szCs w:val="32"/>
          <w:lang w:val="en-US" w:eastAsia="zh-CN" w:bidi="ar-SA"/>
        </w:rPr>
        <w:t>住房保障支出</w:t>
      </w:r>
      <w:r>
        <w:rPr>
          <w:rFonts w:hint="default" w:ascii="仿宋" w:hAnsi="仿宋" w:eastAsia="仿宋" w:cs="Times New Roman"/>
          <w:color w:val="000000"/>
          <w:kern w:val="2"/>
          <w:sz w:val="32"/>
          <w:szCs w:val="32"/>
          <w:lang w:val="en-US" w:eastAsia="zh-CN" w:bidi="ar-SA"/>
        </w:rPr>
        <w:t>（类）</w:t>
      </w:r>
      <w:r>
        <w:rPr>
          <w:rFonts w:hint="eastAsia" w:ascii="仿宋" w:hAnsi="仿宋" w:eastAsia="仿宋" w:cs="Times New Roman"/>
          <w:color w:val="000000"/>
          <w:kern w:val="2"/>
          <w:sz w:val="32"/>
          <w:szCs w:val="32"/>
          <w:lang w:val="en-US" w:eastAsia="zh-CN" w:bidi="ar-SA"/>
        </w:rPr>
        <w:t>住房改革支出</w:t>
      </w:r>
      <w:r>
        <w:rPr>
          <w:rFonts w:hint="default"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住房公积金</w:t>
      </w:r>
      <w:r>
        <w:rPr>
          <w:rFonts w:hint="default" w:ascii="仿宋" w:hAnsi="仿宋" w:eastAsia="仿宋" w:cs="Times New Roman"/>
          <w:color w:val="000000"/>
          <w:kern w:val="2"/>
          <w:sz w:val="32"/>
          <w:szCs w:val="32"/>
          <w:lang w:val="en-US" w:eastAsia="zh-CN" w:bidi="ar-SA"/>
        </w:rPr>
        <w:t>（项）：指反映</w:t>
      </w:r>
      <w:r>
        <w:rPr>
          <w:rFonts w:hint="eastAsia" w:ascii="仿宋" w:hAnsi="仿宋" w:eastAsia="仿宋" w:cs="Times New Roman"/>
          <w:color w:val="000000"/>
          <w:kern w:val="2"/>
          <w:sz w:val="32"/>
          <w:szCs w:val="32"/>
          <w:lang w:val="en-US" w:eastAsia="zh-CN" w:bidi="ar-SA"/>
        </w:rPr>
        <w:t>行政事业单位按人力资源何社会保障部、财政部规定的基本工资和津贴补贴以及规定比例为职工缴纳的住房公积金</w:t>
      </w:r>
      <w:r>
        <w:rPr>
          <w:rFonts w:hint="default" w:ascii="仿宋" w:hAnsi="仿宋" w:eastAsia="仿宋" w:cs="Times New Roman"/>
          <w:color w:val="000000"/>
          <w:kern w:val="2"/>
          <w:sz w:val="32"/>
          <w:szCs w:val="32"/>
          <w:lang w:val="en-US" w:eastAsia="zh-CN" w:bidi="ar-SA"/>
        </w:rPr>
        <w:t>。</w:t>
      </w:r>
    </w:p>
    <w:p>
      <w:pPr>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27.基本支出：指为保障机构正常运转、完成日常工作任务而发生的人员支出和公用支出。</w:t>
      </w:r>
    </w:p>
    <w:p>
      <w:pPr>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28.项目支出：指在基本支出之外为完成特定行政任务和事业发展目标所发生的支出。 </w:t>
      </w:r>
    </w:p>
    <w:p>
      <w:pPr>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29.经营支出：指事业单位在专业业务活动及其辅助活动之外开展非独立核算经营活动发生的支出。</w:t>
      </w: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1"/>
        <w:spacing w:line="560" w:lineRule="exact"/>
        <w:ind w:firstLine="640" w:firstLineChars="200"/>
        <w:rPr>
          <w:rFonts w:ascii="仿宋_GB2312" w:eastAsia="仿宋_GB2312" w:cs="黑体"/>
          <w:sz w:val="32"/>
          <w:szCs w:val="32"/>
        </w:rPr>
      </w:pPr>
    </w:p>
    <w:p>
      <w:pPr>
        <w:spacing w:line="600" w:lineRule="exact"/>
        <w:jc w:val="center"/>
        <w:outlineLvl w:val="0"/>
        <w:rPr>
          <w:rStyle w:val="33"/>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33"/>
          <w:rFonts w:hint="eastAsia" w:ascii="黑体" w:hAnsi="黑体" w:eastAsia="黑体"/>
          <w:b w:val="0"/>
        </w:rPr>
        <w:t>四部分 附件</w:t>
      </w:r>
      <w:bookmarkEnd w:id="58"/>
    </w:p>
    <w:p>
      <w:pPr>
        <w:pStyle w:val="3"/>
        <w:rPr>
          <w:rStyle w:val="33"/>
          <w:rFonts w:ascii="仿宋" w:hAnsi="仿宋" w:eastAsia="仿宋"/>
          <w:b w:val="0"/>
          <w:bCs w:val="0"/>
          <w:sz w:val="32"/>
          <w:szCs w:val="32"/>
        </w:rPr>
      </w:pPr>
      <w:bookmarkStart w:id="59" w:name="_Toc15396615"/>
      <w:r>
        <w:rPr>
          <w:rStyle w:val="33"/>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乐山职业技术学院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360" w:lineRule="auto"/>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一、部门概况</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（一）</w:t>
      </w:r>
      <w:r>
        <w:rPr>
          <w:rFonts w:hint="eastAsia" w:ascii="仿宋" w:hAnsi="仿宋" w:eastAsia="仿宋" w:cs="仿宋_GB2312"/>
          <w:sz w:val="32"/>
          <w:szCs w:val="32"/>
        </w:rPr>
        <w:t>机构组成</w:t>
      </w:r>
    </w:p>
    <w:p>
      <w:pPr>
        <w:spacing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w:t>
      </w:r>
      <w:r>
        <w:rPr>
          <w:rFonts w:hint="eastAsia" w:ascii="仿宋" w:hAnsi="仿宋" w:eastAsia="仿宋" w:cs="仿宋_GB2312"/>
          <w:sz w:val="32"/>
          <w:szCs w:val="32"/>
          <w:lang w:val="en-US" w:eastAsia="zh-CN"/>
        </w:rPr>
        <w:t>乐山职业技术学院设有新能源工程系、财经管理系、旅游系、艺术设计系、机电工程系、电子信息工程系、护理系、医学系、药学系、体育系和基础公共课程部。开设文科、理科和工科所属专业48个。学院拥有一所直属附属医院。</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（二）机构职能</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学院的基本职能是人才培养、科学研究、社会服务、文化传承与创新。</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（三）人员概况</w:t>
      </w:r>
    </w:p>
    <w:p>
      <w:pPr>
        <w:spacing w:line="360" w:lineRule="auto"/>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截止2018年12月31日，学院有事业编制人数902人。人员构成情况：在职人员788人，其中在编人员664人，长期聘用人员124人；离休人员3人。在校全日制学生近1.67万人。</w:t>
      </w:r>
    </w:p>
    <w:p>
      <w:pPr>
        <w:spacing w:line="360" w:lineRule="auto"/>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二、部门财政资金收支情况</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（一）部门财政资金收入情况</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2018年学院收入决算总额为41752.24万元，其中：当年财政拨款收入30951.69万元，事业收入9977.88万元，其他收入822.67万元。</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（二）部门财政资金支出情况</w:t>
      </w:r>
    </w:p>
    <w:p>
      <w:pPr>
        <w:pStyle w:val="43"/>
        <w:spacing w:line="360" w:lineRule="auto"/>
        <w:ind w:firstLine="640"/>
        <w:rPr>
          <w:rFonts w:hint="eastAsia" w:ascii="仿宋" w:hAnsi="仿宋" w:eastAsia="仿宋" w:cs="仿宋_GB2312"/>
          <w:kern w:val="2"/>
          <w:sz w:val="32"/>
          <w:szCs w:val="32"/>
          <w:lang w:val="zh-CN" w:eastAsia="zh-CN" w:bidi="ar-SA"/>
        </w:rPr>
      </w:pPr>
      <w:r>
        <w:rPr>
          <w:rFonts w:hint="eastAsia" w:ascii="仿宋" w:hAnsi="仿宋" w:eastAsia="仿宋" w:cs="仿宋_GB2312"/>
          <w:kern w:val="2"/>
          <w:sz w:val="32"/>
          <w:szCs w:val="32"/>
          <w:lang w:val="zh-CN" w:eastAsia="zh-CN" w:bidi="ar-SA"/>
        </w:rPr>
        <w:t>201</w:t>
      </w:r>
      <w:r>
        <w:rPr>
          <w:rFonts w:hint="eastAsia" w:ascii="仿宋" w:hAnsi="仿宋" w:eastAsia="仿宋" w:cs="仿宋_GB2312"/>
          <w:kern w:val="2"/>
          <w:sz w:val="32"/>
          <w:szCs w:val="32"/>
          <w:lang w:val="en-US" w:eastAsia="zh-CN" w:bidi="ar-SA"/>
        </w:rPr>
        <w:t>8</w:t>
      </w:r>
      <w:r>
        <w:rPr>
          <w:rFonts w:hint="eastAsia" w:ascii="仿宋" w:hAnsi="仿宋" w:eastAsia="仿宋" w:cs="仿宋_GB2312"/>
          <w:kern w:val="2"/>
          <w:sz w:val="32"/>
          <w:szCs w:val="32"/>
          <w:lang w:val="zh-CN" w:eastAsia="zh-CN" w:bidi="ar-SA"/>
        </w:rPr>
        <w:t>年学院支出决算总额为</w:t>
      </w:r>
      <w:r>
        <w:rPr>
          <w:rFonts w:hint="eastAsia" w:ascii="仿宋" w:hAnsi="仿宋" w:eastAsia="仿宋" w:cs="仿宋_GB2312"/>
          <w:kern w:val="2"/>
          <w:sz w:val="32"/>
          <w:szCs w:val="32"/>
          <w:lang w:val="en-US" w:eastAsia="zh-CN" w:bidi="ar-SA"/>
        </w:rPr>
        <w:t>40893.83</w:t>
      </w:r>
      <w:r>
        <w:rPr>
          <w:rFonts w:hint="eastAsia" w:ascii="仿宋" w:hAnsi="仿宋" w:eastAsia="仿宋" w:cs="仿宋_GB2312"/>
          <w:kern w:val="2"/>
          <w:sz w:val="32"/>
          <w:szCs w:val="32"/>
          <w:lang w:val="zh-CN" w:eastAsia="zh-CN" w:bidi="ar-SA"/>
        </w:rPr>
        <w:t>万元，其中：一般公共服务支出</w:t>
      </w:r>
      <w:r>
        <w:rPr>
          <w:rFonts w:hint="eastAsia" w:ascii="仿宋" w:hAnsi="仿宋" w:eastAsia="仿宋" w:cs="仿宋_GB2312"/>
          <w:kern w:val="2"/>
          <w:sz w:val="32"/>
          <w:szCs w:val="32"/>
          <w:lang w:val="en-US" w:eastAsia="zh-CN" w:bidi="ar-SA"/>
        </w:rPr>
        <w:t>65万元，</w:t>
      </w:r>
      <w:r>
        <w:rPr>
          <w:rFonts w:hint="eastAsia" w:ascii="仿宋" w:hAnsi="仿宋" w:eastAsia="仿宋" w:cs="仿宋_GB2312"/>
          <w:kern w:val="2"/>
          <w:sz w:val="32"/>
          <w:szCs w:val="32"/>
          <w:lang w:val="zh-CN" w:eastAsia="zh-CN" w:bidi="ar-SA"/>
        </w:rPr>
        <w:t>教育支出</w:t>
      </w:r>
      <w:r>
        <w:rPr>
          <w:rFonts w:hint="eastAsia" w:ascii="仿宋" w:hAnsi="仿宋" w:eastAsia="仿宋" w:cs="仿宋_GB2312"/>
          <w:kern w:val="2"/>
          <w:sz w:val="32"/>
          <w:szCs w:val="32"/>
          <w:lang w:val="en-US" w:eastAsia="zh-CN" w:bidi="ar-SA"/>
        </w:rPr>
        <w:t>37101.82</w:t>
      </w:r>
      <w:r>
        <w:rPr>
          <w:rFonts w:hint="eastAsia" w:ascii="仿宋" w:hAnsi="仿宋" w:eastAsia="仿宋" w:cs="仿宋_GB2312"/>
          <w:kern w:val="2"/>
          <w:sz w:val="32"/>
          <w:szCs w:val="32"/>
          <w:lang w:val="zh-CN" w:eastAsia="zh-CN" w:bidi="ar-SA"/>
        </w:rPr>
        <w:t>万元，科学技术支出</w:t>
      </w:r>
      <w:r>
        <w:rPr>
          <w:rFonts w:hint="eastAsia" w:ascii="仿宋" w:hAnsi="仿宋" w:eastAsia="仿宋" w:cs="仿宋_GB2312"/>
          <w:kern w:val="2"/>
          <w:sz w:val="32"/>
          <w:szCs w:val="32"/>
          <w:lang w:val="en-US" w:eastAsia="zh-CN" w:bidi="ar-SA"/>
        </w:rPr>
        <w:t>5</w:t>
      </w:r>
      <w:r>
        <w:rPr>
          <w:rFonts w:hint="eastAsia" w:ascii="仿宋" w:hAnsi="仿宋" w:eastAsia="仿宋" w:cs="仿宋_GB2312"/>
          <w:kern w:val="2"/>
          <w:sz w:val="32"/>
          <w:szCs w:val="32"/>
          <w:lang w:val="zh-CN" w:eastAsia="zh-CN" w:bidi="ar-SA"/>
        </w:rPr>
        <w:t>万元，社会保障和就业支出</w:t>
      </w:r>
      <w:r>
        <w:rPr>
          <w:rFonts w:hint="eastAsia" w:ascii="仿宋" w:hAnsi="仿宋" w:eastAsia="仿宋" w:cs="仿宋_GB2312"/>
          <w:kern w:val="2"/>
          <w:sz w:val="32"/>
          <w:szCs w:val="32"/>
          <w:lang w:val="en-US" w:eastAsia="zh-CN" w:bidi="ar-SA"/>
        </w:rPr>
        <w:t>29.72</w:t>
      </w:r>
      <w:r>
        <w:rPr>
          <w:rFonts w:hint="eastAsia" w:ascii="仿宋" w:hAnsi="仿宋" w:eastAsia="仿宋" w:cs="仿宋_GB2312"/>
          <w:kern w:val="2"/>
          <w:sz w:val="32"/>
          <w:szCs w:val="32"/>
          <w:lang w:val="zh-CN" w:eastAsia="zh-CN" w:bidi="ar-SA"/>
        </w:rPr>
        <w:t>万元，医疗卫生与计划生育支出</w:t>
      </w:r>
      <w:r>
        <w:rPr>
          <w:rFonts w:hint="eastAsia" w:ascii="仿宋" w:hAnsi="仿宋" w:eastAsia="仿宋" w:cs="仿宋_GB2312"/>
          <w:kern w:val="2"/>
          <w:sz w:val="32"/>
          <w:szCs w:val="32"/>
          <w:lang w:val="en-US" w:eastAsia="zh-CN" w:bidi="ar-SA"/>
        </w:rPr>
        <w:t>3683.56</w:t>
      </w:r>
      <w:r>
        <w:rPr>
          <w:rFonts w:hint="eastAsia" w:ascii="仿宋" w:hAnsi="仿宋" w:eastAsia="仿宋" w:cs="仿宋_GB2312"/>
          <w:kern w:val="2"/>
          <w:sz w:val="32"/>
          <w:szCs w:val="32"/>
          <w:lang w:val="zh-CN" w:eastAsia="zh-CN" w:bidi="ar-SA"/>
        </w:rPr>
        <w:t>万元，住房保障支出8.73万元。</w:t>
      </w:r>
    </w:p>
    <w:p>
      <w:pPr>
        <w:spacing w:line="360" w:lineRule="auto"/>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三、部门财政支出管理情况</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（一）预决算管理情况</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zh-CN" w:eastAsia="zh-CN"/>
        </w:rPr>
        <w:t>学院认真学习贯彻执行《预算法》有关规定，成立了预算编制工作领导小组，严格预算审批、监督预算执行。按照市级部门预算编制通知和有关要求，按时完成基础、项目库报送工作。按照《四川省财政厅、四川省教育厅关于建立我省公办高职院校生均拨款制度的实施意见》（川财教〔2015〕94号）要求，经上报市财政局批准同意，学院从2016年起实行财政生均拨款制度，2016年生均拨款标准为1万元，2017年及以后年度生均拨款标准为1.2万元，如遇国家和省生均拨款标准调整，则相应调整市级标准。每年按照学院当年秋季学期各专业学生人数、各专业拨款系数以及次年拨款标准计算次年度生均拨款，并列入次年度市级财政预算安排。预算编制</w:t>
      </w:r>
      <w:r>
        <w:rPr>
          <w:rFonts w:hint="eastAsia" w:ascii="仿宋" w:hAnsi="仿宋" w:eastAsia="仿宋" w:cs="仿宋_GB2312"/>
          <w:sz w:val="32"/>
          <w:szCs w:val="32"/>
          <w:lang w:val="en-US" w:eastAsia="zh-CN"/>
        </w:rPr>
        <w:t>体现了合法性、真实性、完整性、科学性及稳妥性原则。</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学院高度重视决算编制工作，按时参加决算编制培训会，认真学习决算报表各项目指标内涵，决算编制及时、准确、真实、完整，连续多年被评为部门决算编制先进单位；合理使用专项资金，专项预算提前细化，做到专款专用；结余结转按规定用途使用。</w:t>
      </w:r>
    </w:p>
    <w:p>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（二）执行管理情况</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2018年学院收入决算总额为41752.24万元，其中：当年财政拨款收入30951.69万元，事业收入9977.88万元，其他收入822.67万元。2018年学院支出决算总额为40893.83万元，其中：基本支出10806.87万元，项目支出30086.96万元。</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学院厉行节约，严格执行中央八项规定和省市十项规定，严控三公经费。2018年公务接待费14.62万元，主要用于接待同类院校教学科研交流、各类企业来院洽谈校企合作等交通费、住宿费、用餐费等；公务用车购置及运行维护费28.88万元,无车辆购置支出；因公出国（境）费用9.75万元，主要用于赴泰国等国进行教育考察、洽谈合作办学等差旅费。三公经费结转按规定由财政收回额度。</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2019年编制部门预算时应对预算项目的必要性、合理性、准确性及相关依据进行认真测评，根据学院财力状况，合理安排人员经费、基本运转和专项运转支出。强化财政支出责任及效率意识，树立“花钱必问效”的理念，将绩效目标设定及预算评审、绩效跟踪、绩效评价及结果应用纳入预算编制、执行、监督全过程，不断提高资金使用效益。</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（三）综合管理情况</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加强政府债务管理，截止2018年12月31日，学院因新校园建设分别向中国银行、交通银行、农发行借款共计</w:t>
      </w:r>
      <w:r>
        <w:rPr>
          <w:rFonts w:hint="eastAsia" w:ascii="仿宋" w:hAnsi="仿宋" w:eastAsia="仿宋" w:cs="仿宋_GB2312"/>
          <w:color w:val="auto"/>
          <w:sz w:val="32"/>
          <w:szCs w:val="32"/>
          <w:lang w:val="en-US" w:eastAsia="zh-CN"/>
        </w:rPr>
        <w:t>55815万元</w:t>
      </w:r>
      <w:r>
        <w:rPr>
          <w:rFonts w:hint="eastAsia" w:ascii="仿宋" w:hAnsi="仿宋" w:eastAsia="仿宋" w:cs="仿宋_GB2312"/>
          <w:sz w:val="32"/>
          <w:szCs w:val="32"/>
          <w:lang w:val="en-US" w:eastAsia="zh-CN"/>
        </w:rPr>
        <w:t>。认真测算借款利息，按照借款合同编制利息支出预算，每季度及时通过国库直接支付利息，无违约现象。</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认真落实《四川省财政厅关于印发〈四川省非税收入管理实施办法〉的通知》（川财非［2017］7号）精神，严格按照规定的非税收入项目、征收范围和征收标准进行征收，及时足额解缴非税收入，做到“应收尽收、应缴尽缴”。全年实现非税收入8016.09万元。</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切实加强资产管理，积极探索预算编制与资产管理有机结合机制，促进资源配置合理化，提高资产使用效率。定期安排专人对学院资产进行全面清理登记，对固定资产进行盘点，认真编制年度财产清查报告，确保资产存量数据的真实、准确和完整。根据学院的实际需要，按照厉行节约、方便使用的原则做好新增资产配置计划编报工作。</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规范政府采购预算编制，严格按照采购法规定，将年度实施政府采购的项目及资金预算详尽列出，做到应编尽编。严格执行政府集中采购目录及采购限额标准，无超预算、超标准采购。</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为推进学院内部控制建设工作，按市财政局《关于全面推进行政事业单位内部控制建设工作的相关通知》文件精神拟定了《乐山职业技术学院财务内部控制制度（试行）》，并认真贯彻落实。</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做好信息公开工作，按照规定时间，在政府和学院门户网站公开学院预算、决算信息，接受社会监督；每月按时上报“三公经费”支出情况；定期上报会计核算数据。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（四）整体绩效</w:t>
      </w:r>
    </w:p>
    <w:p>
      <w:pPr>
        <w:pStyle w:val="40"/>
        <w:adjustRightInd w:val="0"/>
        <w:snapToGrid w:val="0"/>
        <w:spacing w:line="360" w:lineRule="auto"/>
        <w:ind w:firstLine="627" w:firstLineChars="196"/>
        <w:jc w:val="left"/>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 1、健全校园运行管理机制，完善配套制度</w:t>
      </w:r>
    </w:p>
    <w:p>
      <w:pPr>
        <w:spacing w:line="360" w:lineRule="auto"/>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按照学院职业管理水平提升行动计划，制定新校园师资、教学、学生、国资、后勤服务、校园安全运行管理制度、绩效工资分配方案。编制学院内部质量保证体系建设实施方案，完成学院2018年质量报告。制定学院创建国家卫生城市工作实施方案，认真落实“创卫”工作。</w:t>
      </w:r>
    </w:p>
    <w:p>
      <w:pPr>
        <w:spacing w:line="360" w:lineRule="auto"/>
        <w:ind w:firstLine="627" w:firstLineChars="196"/>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2、创新人才发展机制，推进高水平双师队伍建设</w:t>
      </w:r>
    </w:p>
    <w:p>
      <w:pPr>
        <w:spacing w:line="360" w:lineRule="auto"/>
        <w:ind w:firstLine="627" w:firstLineChars="196"/>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坚持人才强校。系统推进人才引进、培养、考核评价等人才发展体制机制创新，新聘任青江学者客座教授10人，引进博士研究生2人，博士后1人。 </w:t>
      </w:r>
    </w:p>
    <w:p>
      <w:pPr>
        <w:spacing w:line="360" w:lineRule="auto"/>
        <w:ind w:firstLine="627" w:firstLineChars="196"/>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积极推进教师发展中心和省级职教师资培养培训基地建设。开展职业专题、师德师风培训12次；开展了“省2017-2018年度职业院校教师素质提高计划（国培项目）—酒店管理专业教师企业实践”。成功申报省教育体制机制改革试点项目1项。成功申报“四川省紧缺领域教师技艺技能传承创新平台”。                                                                                                                                                                                                      </w:t>
      </w:r>
    </w:p>
    <w:p>
      <w:pPr>
        <w:spacing w:line="360" w:lineRule="auto"/>
        <w:ind w:firstLine="627" w:firstLineChars="196"/>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3、以省优质院校建设为抓手，深化内涵建设</w:t>
      </w:r>
    </w:p>
    <w:p>
      <w:pPr>
        <w:spacing w:line="360" w:lineRule="auto"/>
        <w:ind w:firstLine="627" w:firstLineChars="196"/>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深入推进专业群建设。新申报目录外储能材料技术专业。开展省新能源虚拟仿真实训中心、生产性实训基地及酒店管理、护理、光伏材料制备技术专业省级现代学徒制试点的建设。获教育部立项为国家第三批现代学徒制试点单位。完成国家级专业教学资源库建设与验收。学生职业技能比赛获国家级三等奖2项，省级一等奖10项，二等奖18项，三等奖23项。教师教学能力大赛获省级一等奖3项，三等奖5项。</w:t>
      </w:r>
    </w:p>
    <w:p>
      <w:pPr>
        <w:spacing w:line="360" w:lineRule="auto"/>
        <w:ind w:firstLine="627" w:firstLineChars="196"/>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提高科研创新水平。积极落实“科研兴院”，省级课题立项27项，市级课题25项，横向课题19项；核心期刊30篇。新增康复治疗与评定市级工程中心一个。获四川省人民政府教学成果奖二等奖1项。</w:t>
      </w:r>
    </w:p>
    <w:p>
      <w:pPr>
        <w:spacing w:line="360" w:lineRule="auto"/>
        <w:ind w:firstLine="627" w:firstLineChars="196"/>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打造社会服务培训品牌。成功申报自学考试应用型主考院校。完成社会培训共计20293人次，技能鉴定2131人次，实现继续教育和社会服务总收入9796098元。顺利通过省高技能人才培训基地项目考核验收。</w:t>
      </w:r>
    </w:p>
    <w:p>
      <w:pPr>
        <w:spacing w:line="360" w:lineRule="auto"/>
        <w:ind w:firstLine="627" w:firstLineChars="196"/>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加强国际合作与交流。招收外国来华留学生54名。圆</w:t>
      </w:r>
      <w:r>
        <w:rPr>
          <w:rFonts w:hint="eastAsia" w:ascii="仿宋" w:hAnsi="仿宋" w:eastAsia="仿宋" w:cs="仿宋_GB2312"/>
          <w:sz w:val="32"/>
          <w:szCs w:val="32"/>
          <w:lang w:val="en-US" w:eastAsia="zh-CN"/>
        </w:rPr>
        <w:t>满完成泰国诗琳通公主来访接待任务，首次选派教师赴境外</w:t>
      </w:r>
      <w:r>
        <w:rPr>
          <w:rFonts w:hint="eastAsia" w:ascii="仿宋" w:hAnsi="仿宋" w:eastAsia="仿宋" w:cs="仿宋_GB2312"/>
          <w:kern w:val="2"/>
          <w:sz w:val="32"/>
          <w:szCs w:val="32"/>
          <w:lang w:val="en-US" w:eastAsia="zh-CN" w:bidi="ar-SA"/>
        </w:rPr>
        <w:t>指导授课。留学生培养</w:t>
      </w:r>
      <w:r>
        <w:rPr>
          <w:rFonts w:hint="eastAsia" w:ascii="仿宋" w:hAnsi="仿宋" w:eastAsia="仿宋" w:cs="仿宋_GB2312"/>
          <w:sz w:val="32"/>
          <w:szCs w:val="32"/>
          <w:lang w:val="en-US" w:eastAsia="zh-CN"/>
        </w:rPr>
        <w:t>相关</w:t>
      </w:r>
      <w:r>
        <w:rPr>
          <w:rFonts w:hint="eastAsia" w:ascii="仿宋" w:hAnsi="仿宋" w:eastAsia="仿宋" w:cs="仿宋_GB2312"/>
          <w:kern w:val="2"/>
          <w:sz w:val="32"/>
          <w:szCs w:val="32"/>
          <w:lang w:val="en-US" w:eastAsia="zh-CN" w:bidi="ar-SA"/>
        </w:rPr>
        <w:t>课题获四川省级教学成果二等奖。</w:t>
      </w:r>
    </w:p>
    <w:p>
      <w:pPr>
        <w:pStyle w:val="40"/>
        <w:adjustRightInd w:val="0"/>
        <w:snapToGrid w:val="0"/>
        <w:spacing w:line="360" w:lineRule="auto"/>
        <w:ind w:firstLine="627" w:firstLineChars="196"/>
        <w:jc w:val="left"/>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4、落实立德树人，共建和谐校园</w:t>
      </w:r>
    </w:p>
    <w:p>
      <w:pPr>
        <w:pStyle w:val="40"/>
        <w:adjustRightInd w:val="0"/>
        <w:snapToGrid w:val="0"/>
        <w:spacing w:line="360" w:lineRule="auto"/>
        <w:ind w:firstLine="627" w:firstLineChars="196"/>
        <w:jc w:val="left"/>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推行“班级助理”制度。加大“双创”扶持力度，参加“2018年‘创青春’四川省大学生创新创业大赛”，获2个银奖、8个铜奖。</w:t>
      </w:r>
    </w:p>
    <w:p>
      <w:pPr>
        <w:pStyle w:val="40"/>
        <w:adjustRightInd w:val="0"/>
        <w:snapToGrid w:val="0"/>
        <w:spacing w:line="360" w:lineRule="auto"/>
        <w:ind w:firstLine="627" w:firstLineChars="196"/>
        <w:jc w:val="left"/>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5、院地合作，促进区域职教协同发展</w:t>
      </w:r>
    </w:p>
    <w:p>
      <w:pPr>
        <w:pStyle w:val="40"/>
        <w:adjustRightInd w:val="0"/>
        <w:snapToGrid w:val="0"/>
        <w:spacing w:line="360" w:lineRule="auto"/>
        <w:ind w:firstLine="640" w:firstLineChars="200"/>
        <w:jc w:val="left"/>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院地合作托管马边碧桂园职业中学、沐川中等职业学校。成立了职业教育联盟和五沐井马职业教育发展共同体，成功申报省教育厅院地合作协同育人体制机制改革试点项目1项。指导沐川中等职业学校成功申报康养类《老年人服务与管理》专业，首届招生54人；指导沐川中职学校机械加工技术专业申报省级示范专业。帮助马边碧桂园职业中学建立区域性职业技能培训中心，联合承接省、市、县培训9个，“民生工程”项目2个，培训3000人。</w:t>
      </w:r>
    </w:p>
    <w:p>
      <w:pPr>
        <w:pStyle w:val="40"/>
        <w:adjustRightInd w:val="0"/>
        <w:snapToGrid w:val="0"/>
        <w:spacing w:line="360" w:lineRule="auto"/>
        <w:ind w:firstLine="640" w:firstLineChars="200"/>
        <w:jc w:val="left"/>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6、推动附属医院及奥校建设 </w:t>
      </w:r>
    </w:p>
    <w:p>
      <w:pPr>
        <w:spacing w:line="360" w:lineRule="auto"/>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积极推进新校园内附属医院建设，协助乐山市城市投资建设公司完成新院区规划总图。完成乐山奥校整体并入工作，启动了奥校在新校园内的建设。</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评价结论及建议</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（一）评价结论</w:t>
      </w:r>
    </w:p>
    <w:p>
      <w:pPr>
        <w:spacing w:line="360" w:lineRule="auto"/>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按《部门整体支出绩效评价指标体系》标准，对学院2018年部门支出绩效自评评价得分96分。学院总体绩效目标明确、决策依据充分、资金分配科学合理，资金管理规范，任务完成良好，达到了预期效果。</w:t>
      </w:r>
    </w:p>
    <w:tbl>
      <w:tblPr>
        <w:tblStyle w:val="13"/>
        <w:tblW w:w="8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4"/>
        <w:gridCol w:w="2235"/>
        <w:gridCol w:w="2355"/>
        <w:gridCol w:w="2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4" w:type="dxa"/>
            <w:noWrap w:val="0"/>
            <w:vAlign w:val="center"/>
          </w:tcPr>
          <w:p>
            <w:pPr>
              <w:keepNext w:val="0"/>
              <w:keepLines w:val="0"/>
              <w:widowControl/>
              <w:suppressLineNumbers w:val="0"/>
              <w:spacing w:line="360" w:lineRule="auto"/>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w:t>
            </w:r>
          </w:p>
        </w:tc>
        <w:tc>
          <w:tcPr>
            <w:tcW w:w="2235" w:type="dxa"/>
            <w:noWrap w:val="0"/>
            <w:vAlign w:val="center"/>
          </w:tcPr>
          <w:p>
            <w:pPr>
              <w:spacing w:line="360" w:lineRule="auto"/>
              <w:jc w:val="center"/>
              <w:rPr>
                <w:rFonts w:hint="eastAsia" w:ascii="宋体" w:hAnsi="宋体" w:eastAsia="宋体" w:cs="宋体"/>
                <w:i w:val="0"/>
                <w:color w:val="000000"/>
                <w:sz w:val="18"/>
                <w:szCs w:val="18"/>
                <w:u w:val="none"/>
              </w:rPr>
            </w:pPr>
          </w:p>
        </w:tc>
        <w:tc>
          <w:tcPr>
            <w:tcW w:w="2355" w:type="dxa"/>
            <w:noWrap w:val="0"/>
            <w:vAlign w:val="center"/>
          </w:tcPr>
          <w:p>
            <w:pPr>
              <w:spacing w:line="360" w:lineRule="auto"/>
              <w:rPr>
                <w:rFonts w:hint="eastAsia" w:ascii="宋体" w:hAnsi="宋体" w:eastAsia="宋体" w:cs="宋体"/>
                <w:i w:val="0"/>
                <w:color w:val="000000"/>
                <w:sz w:val="18"/>
                <w:szCs w:val="18"/>
                <w:u w:val="none"/>
              </w:rPr>
            </w:pPr>
          </w:p>
        </w:tc>
        <w:tc>
          <w:tcPr>
            <w:tcW w:w="2939" w:type="dxa"/>
            <w:noWrap w:val="0"/>
            <w:vAlign w:val="center"/>
          </w:tcPr>
          <w:p>
            <w:pPr>
              <w:spacing w:line="360" w:lineRule="auto"/>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563" w:type="dxa"/>
            <w:gridSpan w:val="4"/>
            <w:noWrap w:val="0"/>
            <w:vAlign w:val="center"/>
          </w:tcPr>
          <w:p>
            <w:pPr>
              <w:keepNext w:val="0"/>
              <w:keepLines w:val="0"/>
              <w:widowControl/>
              <w:suppressLineNumbers w:val="0"/>
              <w:spacing w:line="360" w:lineRule="auto"/>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部门整体支出绩效评价指标体系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4" w:type="dxa"/>
            <w:noWrap w:val="0"/>
            <w:vAlign w:val="center"/>
          </w:tcPr>
          <w:p>
            <w:pPr>
              <w:spacing w:line="360" w:lineRule="auto"/>
              <w:jc w:val="center"/>
              <w:rPr>
                <w:rFonts w:hint="eastAsia" w:ascii="宋体" w:hAnsi="宋体" w:eastAsia="宋体" w:cs="宋体"/>
                <w:b/>
                <w:i w:val="0"/>
                <w:color w:val="000000"/>
                <w:sz w:val="18"/>
                <w:szCs w:val="18"/>
                <w:u w:val="none"/>
              </w:rPr>
            </w:pPr>
          </w:p>
        </w:tc>
        <w:tc>
          <w:tcPr>
            <w:tcW w:w="2235" w:type="dxa"/>
            <w:noWrap w:val="0"/>
            <w:vAlign w:val="center"/>
          </w:tcPr>
          <w:p>
            <w:pPr>
              <w:spacing w:line="360" w:lineRule="auto"/>
              <w:jc w:val="center"/>
              <w:rPr>
                <w:rFonts w:hint="eastAsia" w:ascii="宋体" w:hAnsi="宋体" w:eastAsia="宋体" w:cs="宋体"/>
                <w:b/>
                <w:i w:val="0"/>
                <w:color w:val="000000"/>
                <w:sz w:val="18"/>
                <w:szCs w:val="18"/>
                <w:u w:val="none"/>
              </w:rPr>
            </w:pPr>
          </w:p>
        </w:tc>
        <w:tc>
          <w:tcPr>
            <w:tcW w:w="2355" w:type="dxa"/>
            <w:noWrap w:val="0"/>
            <w:vAlign w:val="center"/>
          </w:tcPr>
          <w:p>
            <w:pPr>
              <w:spacing w:line="360" w:lineRule="auto"/>
              <w:jc w:val="center"/>
              <w:rPr>
                <w:rFonts w:hint="eastAsia" w:ascii="宋体" w:hAnsi="宋体" w:eastAsia="宋体" w:cs="宋体"/>
                <w:b/>
                <w:i w:val="0"/>
                <w:color w:val="000000"/>
                <w:sz w:val="18"/>
                <w:szCs w:val="18"/>
                <w:u w:val="none"/>
              </w:rPr>
            </w:pPr>
          </w:p>
        </w:tc>
        <w:tc>
          <w:tcPr>
            <w:tcW w:w="2939" w:type="dxa"/>
            <w:noWrap w:val="0"/>
            <w:vAlign w:val="center"/>
          </w:tcPr>
          <w:p>
            <w:pPr>
              <w:spacing w:line="360" w:lineRule="auto"/>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w:t>
            </w:r>
            <w:r>
              <w:rPr>
                <w:rStyle w:val="44"/>
                <w:lang w:val="en-US" w:eastAsia="zh-CN" w:bidi="ar"/>
              </w:rPr>
              <w:t>0分）</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报送时效（1分）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基础信息更新（1分）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编制质量（2分）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部门预算审查（1分）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绩效目标（5分）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部门整体绩效目标（2分）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重点项目绩效目标（3分）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转移支付提前下达（1分）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转移支付提前下达（1分）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专项转移支付分地区分项目编制（1分）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专项转移支付分地区分项目编制（1分）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Style w:val="44"/>
                <w:lang w:val="en-US" w:eastAsia="zh-CN" w:bidi="ar"/>
              </w:rPr>
              <w:t>0分）</w:t>
            </w: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执行进度（10分）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省级财力专项预算分配时限（4分）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中央专款分配合规率（3分）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部门预算执行进度（3分）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预算调整（4分）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执行中期评估（4分）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行政成本（6分）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节能降耗（3分）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“三公”经费（3分）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综合管理（40分）</w:t>
            </w:r>
          </w:p>
        </w:tc>
        <w:tc>
          <w:tcPr>
            <w:tcW w:w="223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债务管理（2分）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债务还本付息（2分）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非税收入执收情况（4分）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非税收入征收情况（2分）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非税收入上缴情况（2分）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政府采购实施计划（4分）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政府采购实施计划编制（2分）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政府采购实施计划执行（2分）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资产管理（6分）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资产管理信息系统建设情况（2分）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行政事业单位资产清查开展情况（2分）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行政事业单位资产报表上报情况（2分）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内控制度管理（2分）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内部控制制度健全完整（2分）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信息公开（6分）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预算公开（2分）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决算公开（2分）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绩效信息公开（2分）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绩效评价（10分）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评价项目覆盖率（2分）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评价层次（2分）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评价结果报告（2分）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整改完成率（4分）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依法接受财政监督（6分）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是否按要求开展自查自纠（2分）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重点检查发现违规违纪问题（2分）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存在问题整改是否到位（2分）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整体效益（30分）</w:t>
            </w: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部门整体绩效（30分）</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部门职责履行结果（10分）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重点项目绩效评价结果（10分）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服务对象满意度（10分）</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34" w:type="dxa"/>
            <w:noWrap w:val="0"/>
            <w:vAlign w:val="center"/>
          </w:tcPr>
          <w:p>
            <w:pPr>
              <w:spacing w:line="360" w:lineRule="auto"/>
              <w:rPr>
                <w:rFonts w:hint="eastAsia" w:ascii="宋体" w:hAnsi="宋体" w:eastAsia="宋体" w:cs="宋体"/>
                <w:i w:val="0"/>
                <w:color w:val="000000"/>
                <w:sz w:val="24"/>
                <w:szCs w:val="24"/>
                <w:u w:val="none"/>
              </w:rPr>
            </w:pPr>
          </w:p>
        </w:tc>
        <w:tc>
          <w:tcPr>
            <w:tcW w:w="2235" w:type="dxa"/>
            <w:noWrap w:val="0"/>
            <w:vAlign w:val="center"/>
          </w:tcPr>
          <w:p>
            <w:pPr>
              <w:spacing w:line="360" w:lineRule="auto"/>
              <w:rPr>
                <w:rFonts w:hint="eastAsia" w:ascii="宋体" w:hAnsi="宋体" w:eastAsia="宋体" w:cs="宋体"/>
                <w:i w:val="0"/>
                <w:color w:val="000000"/>
                <w:sz w:val="24"/>
                <w:szCs w:val="24"/>
                <w:u w:val="none"/>
              </w:rPr>
            </w:pPr>
          </w:p>
        </w:tc>
        <w:tc>
          <w:tcPr>
            <w:tcW w:w="2355" w:type="dxa"/>
            <w:noWrap w:val="0"/>
            <w:vAlign w:val="center"/>
          </w:tcPr>
          <w:p>
            <w:pPr>
              <w:spacing w:line="360" w:lineRule="auto"/>
              <w:rPr>
                <w:rFonts w:hint="eastAsia" w:ascii="宋体" w:hAnsi="宋体" w:eastAsia="宋体" w:cs="宋体"/>
                <w:i w:val="0"/>
                <w:color w:val="000000"/>
                <w:sz w:val="24"/>
                <w:szCs w:val="24"/>
                <w:u w:val="none"/>
              </w:rPr>
            </w:pPr>
          </w:p>
        </w:tc>
        <w:tc>
          <w:tcPr>
            <w:tcW w:w="2939" w:type="dxa"/>
            <w:noWrap w:val="0"/>
            <w:vAlign w:val="center"/>
          </w:tcPr>
          <w:p>
            <w:pPr>
              <w:spacing w:line="360" w:lineRule="auto"/>
              <w:rPr>
                <w:rFonts w:hint="eastAsia" w:ascii="宋体" w:hAnsi="宋体" w:eastAsia="宋体" w:cs="宋体"/>
                <w:i w:val="0"/>
                <w:color w:val="000000"/>
                <w:sz w:val="24"/>
                <w:szCs w:val="24"/>
                <w:u w:val="none"/>
              </w:rPr>
            </w:pPr>
          </w:p>
        </w:tc>
      </w:tr>
    </w:tbl>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（二）存在问题</w:t>
      </w:r>
    </w:p>
    <w:p>
      <w:pPr>
        <w:spacing w:line="360" w:lineRule="auto"/>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预算编制不够科学合理，结转数额较大，项目资金分配随意性较大，资金使用范围不明确，计划与实际支出脱节。</w:t>
      </w:r>
    </w:p>
    <w:p>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（三）改进建议</w:t>
      </w:r>
    </w:p>
    <w:p>
      <w:pPr>
        <w:snapToGrid w:val="0"/>
        <w:spacing w:line="360" w:lineRule="auto"/>
        <w:ind w:firstLine="640" w:firstLineChars="200"/>
        <w:jc w:val="left"/>
        <w:rPr>
          <w:rFonts w:hint="eastAsia" w:ascii="仿宋_GB2312" w:hAnsi="宋体" w:eastAsia="仿宋_GB2312" w:cs="宋体"/>
          <w:kern w:val="0"/>
          <w:sz w:val="32"/>
          <w:szCs w:val="32"/>
          <w:lang w:val="en-US" w:eastAsia="zh-CN"/>
        </w:rPr>
      </w:pPr>
      <w:r>
        <w:rPr>
          <w:rFonts w:hint="eastAsia" w:ascii="仿宋" w:hAnsi="仿宋" w:eastAsia="仿宋" w:cs="仿宋_GB2312"/>
          <w:kern w:val="2"/>
          <w:sz w:val="32"/>
          <w:szCs w:val="32"/>
          <w:lang w:val="en-US" w:eastAsia="zh-CN" w:bidi="ar-SA"/>
        </w:rPr>
        <w:t>进一步学习《预算法》、《会计法》、《行政事业单位内控制度》（试行）等法律法规，严肃财经纪律，合理编制预算，依法使用财政资金，严格执行各项规章制度。编制项目支出预算，将绩效目标作为预算安排的重要依据，提高预算编制的科学性和准确性，提高资金使用绩效。坚持勤俭办学，建立健全厉行节约制度，杜绝奢华浪费现象。</w:t>
      </w:r>
    </w:p>
    <w:p>
      <w:pPr>
        <w:snapToGrid w:val="0"/>
        <w:spacing w:line="360" w:lineRule="auto"/>
        <w:ind w:firstLine="640" w:firstLineChars="200"/>
        <w:jc w:val="left"/>
        <w:rPr>
          <w:rFonts w:hint="eastAsia" w:ascii="仿宋_GB2312" w:hAnsi="宋体" w:eastAsia="仿宋_GB2312" w:cs="宋体"/>
          <w:kern w:val="0"/>
          <w:sz w:val="32"/>
          <w:szCs w:val="32"/>
          <w:lang w:val="en-US" w:eastAsia="zh-CN"/>
        </w:rPr>
      </w:pPr>
    </w:p>
    <w:p>
      <w:pPr>
        <w:rPr>
          <w:rFonts w:hint="eastAsia" w:eastAsia="仿宋_GB2312"/>
          <w:lang w:val="en-US" w:eastAsia="zh-CN"/>
        </w:rPr>
      </w:pPr>
    </w:p>
    <w:p>
      <w:pPr>
        <w:spacing w:line="580" w:lineRule="exact"/>
        <w:ind w:firstLine="640" w:firstLineChars="200"/>
        <w:rPr>
          <w:rFonts w:ascii="黑体" w:hAnsi="黑体" w:eastAsia="黑体" w:cs="黑体"/>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33"/>
          <w:rFonts w:ascii="黑体" w:hAnsi="黑体" w:eastAsia="黑体"/>
          <w:b w:val="0"/>
        </w:rPr>
      </w:pPr>
      <w:bookmarkStart w:id="61" w:name="_Toc15396618"/>
      <w:r>
        <w:rPr>
          <w:rFonts w:hint="eastAsia" w:ascii="黑体" w:hAnsi="黑体" w:eastAsia="黑体"/>
          <w:color w:val="000000"/>
          <w:sz w:val="44"/>
          <w:szCs w:val="44"/>
        </w:rPr>
        <w:t>第</w:t>
      </w:r>
      <w:r>
        <w:rPr>
          <w:rStyle w:val="33"/>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34"/>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34"/>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34"/>
          <w:rFonts w:hint="eastAsia" w:ascii="仿宋" w:hAnsi="仿宋" w:eastAsia="仿宋"/>
          <w:b w:val="0"/>
          <w:bCs w:val="0"/>
        </w:rPr>
        <w:t>三、</w:t>
      </w:r>
      <w:r>
        <w:rPr>
          <w:rFonts w:hint="eastAsia" w:ascii="仿宋" w:hAnsi="仿宋" w:eastAsia="仿宋"/>
          <w:b w:val="0"/>
          <w:color w:val="000000"/>
        </w:rPr>
        <w:t>支</w:t>
      </w:r>
      <w:r>
        <w:rPr>
          <w:rStyle w:val="34"/>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34"/>
          <w:rFonts w:hint="eastAsia" w:ascii="仿宋" w:hAnsi="仿宋" w:eastAsia="仿宋"/>
          <w:b w:val="0"/>
          <w:bCs w:val="0"/>
        </w:rPr>
        <w:t>四、</w:t>
      </w:r>
      <w:r>
        <w:rPr>
          <w:rFonts w:hint="eastAsia" w:ascii="仿宋" w:hAnsi="仿宋" w:eastAsia="仿宋"/>
          <w:b w:val="0"/>
          <w:color w:val="000000"/>
        </w:rPr>
        <w:t>财</w:t>
      </w:r>
      <w:r>
        <w:rPr>
          <w:rStyle w:val="34"/>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34"/>
          <w:rFonts w:hint="eastAsia" w:ascii="仿宋" w:hAnsi="仿宋" w:eastAsia="仿宋"/>
          <w:b w:val="0"/>
          <w:bCs w:val="0"/>
        </w:rPr>
        <w:t>五、</w:t>
      </w:r>
      <w:r>
        <w:rPr>
          <w:rFonts w:hint="eastAsia" w:ascii="仿宋" w:hAnsi="仿宋" w:eastAsia="仿宋"/>
          <w:b w:val="0"/>
          <w:color w:val="000000"/>
        </w:rPr>
        <w:t>财</w:t>
      </w:r>
      <w:r>
        <w:rPr>
          <w:rStyle w:val="34"/>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34"/>
          <w:rFonts w:hint="eastAsia" w:ascii="仿宋" w:hAnsi="仿宋" w:eastAsia="仿宋"/>
          <w:b w:val="0"/>
          <w:bCs w:val="0"/>
        </w:rPr>
        <w:t>六、</w:t>
      </w:r>
      <w:r>
        <w:rPr>
          <w:rFonts w:hint="eastAsia" w:ascii="仿宋" w:hAnsi="仿宋" w:eastAsia="仿宋"/>
          <w:b w:val="0"/>
          <w:color w:val="000000"/>
        </w:rPr>
        <w:t>一</w:t>
      </w:r>
      <w:r>
        <w:rPr>
          <w:rStyle w:val="34"/>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34"/>
          <w:rFonts w:hint="eastAsia" w:ascii="仿宋" w:hAnsi="仿宋" w:eastAsia="仿宋"/>
          <w:b w:val="0"/>
          <w:bCs w:val="0"/>
        </w:rPr>
        <w:t>七、</w:t>
      </w:r>
      <w:r>
        <w:rPr>
          <w:rFonts w:hint="eastAsia" w:ascii="仿宋" w:hAnsi="仿宋" w:eastAsia="仿宋"/>
          <w:b w:val="0"/>
          <w:color w:val="000000"/>
        </w:rPr>
        <w:t>一</w:t>
      </w:r>
      <w:r>
        <w:rPr>
          <w:rStyle w:val="34"/>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34"/>
          <w:rFonts w:hint="eastAsia" w:ascii="仿宋" w:hAnsi="仿宋" w:eastAsia="仿宋"/>
          <w:b w:val="0"/>
          <w:bCs w:val="0"/>
        </w:rPr>
        <w:t>八、</w:t>
      </w:r>
      <w:r>
        <w:rPr>
          <w:rFonts w:hint="eastAsia" w:ascii="仿宋" w:hAnsi="仿宋" w:eastAsia="仿宋"/>
          <w:b w:val="0"/>
          <w:color w:val="000000"/>
        </w:rPr>
        <w:t>一</w:t>
      </w:r>
      <w:r>
        <w:rPr>
          <w:rStyle w:val="34"/>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34"/>
          <w:rFonts w:hint="eastAsia" w:ascii="仿宋" w:hAnsi="仿宋" w:eastAsia="仿宋"/>
          <w:b w:val="0"/>
          <w:bCs w:val="0"/>
        </w:rPr>
        <w:t>九、</w:t>
      </w:r>
      <w:r>
        <w:rPr>
          <w:rFonts w:hint="eastAsia" w:ascii="仿宋" w:hAnsi="仿宋" w:eastAsia="仿宋"/>
          <w:b w:val="0"/>
          <w:color w:val="000000"/>
        </w:rPr>
        <w:t>一</w:t>
      </w:r>
      <w:r>
        <w:rPr>
          <w:rStyle w:val="34"/>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34"/>
          <w:rFonts w:hint="eastAsia" w:ascii="仿宋" w:hAnsi="仿宋" w:eastAsia="仿宋"/>
          <w:b w:val="0"/>
          <w:bCs w:val="0"/>
        </w:rPr>
        <w:t>十、</w:t>
      </w:r>
      <w:r>
        <w:rPr>
          <w:rFonts w:hint="eastAsia" w:ascii="仿宋" w:hAnsi="仿宋" w:eastAsia="仿宋"/>
          <w:b w:val="0"/>
          <w:color w:val="000000"/>
        </w:rPr>
        <w:t>一</w:t>
      </w:r>
      <w:r>
        <w:rPr>
          <w:rStyle w:val="34"/>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34"/>
          <w:rFonts w:hint="eastAsia" w:ascii="仿宋" w:hAnsi="仿宋" w:eastAsia="仿宋"/>
          <w:b w:val="0"/>
          <w:bCs w:val="0"/>
        </w:rPr>
        <w:t>十一、</w:t>
      </w:r>
      <w:r>
        <w:rPr>
          <w:rFonts w:hint="eastAsia" w:ascii="仿宋" w:hAnsi="仿宋" w:eastAsia="仿宋"/>
          <w:b w:val="0"/>
          <w:color w:val="000000"/>
        </w:rPr>
        <w:t>政</w:t>
      </w:r>
      <w:r>
        <w:rPr>
          <w:rStyle w:val="34"/>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34"/>
          <w:rFonts w:hint="eastAsia" w:ascii="仿宋" w:hAnsi="仿宋" w:eastAsia="仿宋"/>
          <w:b w:val="0"/>
          <w:bCs w:val="0"/>
        </w:rPr>
        <w:t>十二、</w:t>
      </w:r>
      <w:r>
        <w:rPr>
          <w:rFonts w:hint="eastAsia" w:ascii="仿宋" w:hAnsi="仿宋" w:eastAsia="仿宋"/>
          <w:b w:val="0"/>
          <w:color w:val="000000"/>
        </w:rPr>
        <w:t>政</w:t>
      </w:r>
      <w:r>
        <w:rPr>
          <w:rStyle w:val="34"/>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34"/>
          <w:rFonts w:hint="eastAsia" w:ascii="仿宋" w:hAnsi="仿宋" w:eastAsia="仿宋"/>
          <w:b w:val="0"/>
          <w:bCs w:val="0"/>
        </w:rPr>
        <w:t>十三、</w:t>
      </w:r>
      <w:r>
        <w:rPr>
          <w:rFonts w:hint="eastAsia" w:ascii="仿宋" w:hAnsi="仿宋" w:eastAsia="仿宋"/>
          <w:b w:val="0"/>
          <w:color w:val="000000"/>
        </w:rPr>
        <w:t>国</w:t>
      </w:r>
      <w:r>
        <w:rPr>
          <w:rStyle w:val="34"/>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34F85EAF"/>
    <w:multiLevelType w:val="multilevel"/>
    <w:tmpl w:val="34F85EAF"/>
    <w:lvl w:ilvl="0" w:tentative="0">
      <w:start w:val="1"/>
      <w:numFmt w:val="chineseCountingThousand"/>
      <w:pStyle w:val="41"/>
      <w:suff w:val="nothing"/>
      <w:lvlText w:val="%1、"/>
      <w:lvlJc w:val="left"/>
      <w:pPr>
        <w:ind w:left="0" w:firstLine="637"/>
      </w:pPr>
      <w:rPr>
        <w:rFonts w:hint="eastAsia"/>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6">
    <w:nsid w:val="7EE55BF3"/>
    <w:multiLevelType w:val="multilevel"/>
    <w:tmpl w:val="7EE55BF3"/>
    <w:lvl w:ilvl="0" w:tentative="0">
      <w:start w:val="1"/>
      <w:numFmt w:val="chineseCountingThousand"/>
      <w:pStyle w:val="42"/>
      <w:suff w:val="nothing"/>
      <w:lvlText w:val="（%1）"/>
      <w:lvlJc w:val="left"/>
      <w:pPr>
        <w:ind w:left="0"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618A"/>
    <w:rsid w:val="00505A47"/>
    <w:rsid w:val="00512FDA"/>
    <w:rsid w:val="00520DA0"/>
    <w:rsid w:val="005664BB"/>
    <w:rsid w:val="0057481D"/>
    <w:rsid w:val="0058486E"/>
    <w:rsid w:val="00597577"/>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6F0480"/>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900"/>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5926"/>
    <w:rsid w:val="00A56DF2"/>
    <w:rsid w:val="00A67AB5"/>
    <w:rsid w:val="00A91760"/>
    <w:rsid w:val="00A92BAD"/>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A6B33"/>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43D"/>
    <w:rsid w:val="00EF4C34"/>
    <w:rsid w:val="00EF77C6"/>
    <w:rsid w:val="00F05438"/>
    <w:rsid w:val="00F1361C"/>
    <w:rsid w:val="00F160C7"/>
    <w:rsid w:val="00F36D8F"/>
    <w:rsid w:val="00F417B1"/>
    <w:rsid w:val="00F602DF"/>
    <w:rsid w:val="00F81FD9"/>
    <w:rsid w:val="00F841AA"/>
    <w:rsid w:val="00FA23E8"/>
    <w:rsid w:val="00FD3CC1"/>
    <w:rsid w:val="00FF1E02"/>
    <w:rsid w:val="00FF30B4"/>
    <w:rsid w:val="01A8768D"/>
    <w:rsid w:val="0596515F"/>
    <w:rsid w:val="079E45C6"/>
    <w:rsid w:val="080842F0"/>
    <w:rsid w:val="080B1AAB"/>
    <w:rsid w:val="09833304"/>
    <w:rsid w:val="09BB488D"/>
    <w:rsid w:val="0BBF598D"/>
    <w:rsid w:val="10332FD7"/>
    <w:rsid w:val="10C055FF"/>
    <w:rsid w:val="10FF46E1"/>
    <w:rsid w:val="1202574E"/>
    <w:rsid w:val="129D4D79"/>
    <w:rsid w:val="13F06D5B"/>
    <w:rsid w:val="16632B66"/>
    <w:rsid w:val="16BB723D"/>
    <w:rsid w:val="17616A06"/>
    <w:rsid w:val="187D57EB"/>
    <w:rsid w:val="19350F1D"/>
    <w:rsid w:val="19F35605"/>
    <w:rsid w:val="1A9C2B60"/>
    <w:rsid w:val="1BCB7488"/>
    <w:rsid w:val="1C524D40"/>
    <w:rsid w:val="1C5E3D79"/>
    <w:rsid w:val="1E110243"/>
    <w:rsid w:val="1E405D04"/>
    <w:rsid w:val="1E516952"/>
    <w:rsid w:val="20185074"/>
    <w:rsid w:val="20493EDA"/>
    <w:rsid w:val="22261EA0"/>
    <w:rsid w:val="22877B9A"/>
    <w:rsid w:val="22F105D8"/>
    <w:rsid w:val="233D318A"/>
    <w:rsid w:val="240371BF"/>
    <w:rsid w:val="253B6BC4"/>
    <w:rsid w:val="26376DB4"/>
    <w:rsid w:val="26BC49A1"/>
    <w:rsid w:val="27096A71"/>
    <w:rsid w:val="270C7591"/>
    <w:rsid w:val="271E67F7"/>
    <w:rsid w:val="27937204"/>
    <w:rsid w:val="288D474C"/>
    <w:rsid w:val="29F77D4F"/>
    <w:rsid w:val="29FD04D3"/>
    <w:rsid w:val="2A801BEF"/>
    <w:rsid w:val="2C7F5144"/>
    <w:rsid w:val="2C9462F2"/>
    <w:rsid w:val="2CD24F31"/>
    <w:rsid w:val="2D0502F0"/>
    <w:rsid w:val="2DD864C5"/>
    <w:rsid w:val="2ECA2496"/>
    <w:rsid w:val="2F5F1852"/>
    <w:rsid w:val="30C037D9"/>
    <w:rsid w:val="30C4109E"/>
    <w:rsid w:val="31053452"/>
    <w:rsid w:val="310575CD"/>
    <w:rsid w:val="319F7F4E"/>
    <w:rsid w:val="320F0BFE"/>
    <w:rsid w:val="332703DF"/>
    <w:rsid w:val="33656C29"/>
    <w:rsid w:val="33803EAF"/>
    <w:rsid w:val="3447123E"/>
    <w:rsid w:val="36082A2A"/>
    <w:rsid w:val="365602AA"/>
    <w:rsid w:val="3657181A"/>
    <w:rsid w:val="366907D2"/>
    <w:rsid w:val="36C1570B"/>
    <w:rsid w:val="387D1FD5"/>
    <w:rsid w:val="3B0F090C"/>
    <w:rsid w:val="3B776C1D"/>
    <w:rsid w:val="3C8E4573"/>
    <w:rsid w:val="3DEC31B9"/>
    <w:rsid w:val="3FC7172F"/>
    <w:rsid w:val="40BD721C"/>
    <w:rsid w:val="40DB79D7"/>
    <w:rsid w:val="418123B2"/>
    <w:rsid w:val="42543E2E"/>
    <w:rsid w:val="4258308D"/>
    <w:rsid w:val="43FA60AC"/>
    <w:rsid w:val="452639AB"/>
    <w:rsid w:val="46CE4759"/>
    <w:rsid w:val="496D3FBD"/>
    <w:rsid w:val="4B356E76"/>
    <w:rsid w:val="4DAA6461"/>
    <w:rsid w:val="4E3C4F97"/>
    <w:rsid w:val="4E801C82"/>
    <w:rsid w:val="4E805C14"/>
    <w:rsid w:val="4F6E547A"/>
    <w:rsid w:val="4F9C0C66"/>
    <w:rsid w:val="501E457F"/>
    <w:rsid w:val="50772670"/>
    <w:rsid w:val="50C06E8D"/>
    <w:rsid w:val="51212ADB"/>
    <w:rsid w:val="516B7205"/>
    <w:rsid w:val="54AC4029"/>
    <w:rsid w:val="570C4021"/>
    <w:rsid w:val="57532B86"/>
    <w:rsid w:val="58A46335"/>
    <w:rsid w:val="596A34BD"/>
    <w:rsid w:val="5AB3053D"/>
    <w:rsid w:val="5AFC036A"/>
    <w:rsid w:val="5CCD264C"/>
    <w:rsid w:val="5CF122AB"/>
    <w:rsid w:val="5D5F368F"/>
    <w:rsid w:val="5DD44D7F"/>
    <w:rsid w:val="5E5E219A"/>
    <w:rsid w:val="60BA5CBC"/>
    <w:rsid w:val="6298633D"/>
    <w:rsid w:val="62F84018"/>
    <w:rsid w:val="63061CAF"/>
    <w:rsid w:val="632C164D"/>
    <w:rsid w:val="63936B0D"/>
    <w:rsid w:val="63F234D8"/>
    <w:rsid w:val="664B48CB"/>
    <w:rsid w:val="671D639B"/>
    <w:rsid w:val="67566300"/>
    <w:rsid w:val="691B186A"/>
    <w:rsid w:val="6D4A6CF4"/>
    <w:rsid w:val="6EA95D9C"/>
    <w:rsid w:val="6FCA6573"/>
    <w:rsid w:val="708E4149"/>
    <w:rsid w:val="716D4218"/>
    <w:rsid w:val="719C2FF4"/>
    <w:rsid w:val="71F341EA"/>
    <w:rsid w:val="736B3028"/>
    <w:rsid w:val="755B005F"/>
    <w:rsid w:val="75AD073A"/>
    <w:rsid w:val="75C5758A"/>
    <w:rsid w:val="77B3410F"/>
    <w:rsid w:val="78DA33E2"/>
    <w:rsid w:val="79657796"/>
    <w:rsid w:val="7A0E2D33"/>
    <w:rsid w:val="7A445539"/>
    <w:rsid w:val="7A4A707E"/>
    <w:rsid w:val="7CC024A9"/>
    <w:rsid w:val="7EF9307C"/>
    <w:rsid w:val="7F162C26"/>
    <w:rsid w:val="7F9C72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0"/>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6"/>
    <w:semiHidden/>
    <w:unhideWhenUsed/>
    <w:qFormat/>
    <w:uiPriority w:val="99"/>
    <w:rPr>
      <w:sz w:val="18"/>
      <w:szCs w:val="18"/>
    </w:rPr>
  </w:style>
  <w:style w:type="paragraph" w:styleId="8">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page number"/>
    <w:basedOn w:val="14"/>
    <w:qFormat/>
    <w:uiPriority w:val="0"/>
  </w:style>
  <w:style w:type="character" w:styleId="17">
    <w:name w:val="FollowedHyperlink"/>
    <w:basedOn w:val="14"/>
    <w:semiHidden/>
    <w:unhideWhenUsed/>
    <w:qFormat/>
    <w:uiPriority w:val="99"/>
    <w:rPr>
      <w:color w:val="504D47"/>
      <w:u w:val="none"/>
    </w:rPr>
  </w:style>
  <w:style w:type="character" w:styleId="18">
    <w:name w:val="Emphasis"/>
    <w:basedOn w:val="14"/>
    <w:qFormat/>
    <w:uiPriority w:val="20"/>
  </w:style>
  <w:style w:type="character" w:styleId="19">
    <w:name w:val="HTML Definition"/>
    <w:basedOn w:val="14"/>
    <w:semiHidden/>
    <w:unhideWhenUsed/>
    <w:qFormat/>
    <w:uiPriority w:val="99"/>
  </w:style>
  <w:style w:type="character" w:styleId="20">
    <w:name w:val="HTML Acronym"/>
    <w:basedOn w:val="14"/>
    <w:semiHidden/>
    <w:unhideWhenUsed/>
    <w:qFormat/>
    <w:uiPriority w:val="99"/>
  </w:style>
  <w:style w:type="character" w:styleId="21">
    <w:name w:val="HTML Variable"/>
    <w:basedOn w:val="14"/>
    <w:semiHidden/>
    <w:unhideWhenUsed/>
    <w:qFormat/>
    <w:uiPriority w:val="99"/>
  </w:style>
  <w:style w:type="character" w:styleId="22">
    <w:name w:val="Hyperlink"/>
    <w:basedOn w:val="14"/>
    <w:unhideWhenUsed/>
    <w:qFormat/>
    <w:uiPriority w:val="99"/>
    <w:rPr>
      <w:color w:val="0000FF" w:themeColor="hyperlink"/>
      <w:u w:val="single"/>
      <w14:textFill>
        <w14:solidFill>
          <w14:schemeClr w14:val="hlink"/>
        </w14:solidFill>
      </w14:textFill>
    </w:rPr>
  </w:style>
  <w:style w:type="character" w:styleId="23">
    <w:name w:val="HTML Code"/>
    <w:basedOn w:val="14"/>
    <w:semiHidden/>
    <w:unhideWhenUsed/>
    <w:qFormat/>
    <w:uiPriority w:val="99"/>
    <w:rPr>
      <w:rFonts w:ascii="Courier New" w:hAnsi="Courier New"/>
      <w:sz w:val="20"/>
    </w:rPr>
  </w:style>
  <w:style w:type="character" w:styleId="24">
    <w:name w:val="HTML Cite"/>
    <w:basedOn w:val="14"/>
    <w:semiHidden/>
    <w:unhideWhenUsed/>
    <w:qFormat/>
    <w:uiPriority w:val="99"/>
  </w:style>
  <w:style w:type="character" w:customStyle="1" w:styleId="25">
    <w:name w:val="Header Char"/>
    <w:basedOn w:val="14"/>
    <w:semiHidden/>
    <w:qFormat/>
    <w:uiPriority w:val="99"/>
    <w:rPr>
      <w:rFonts w:ascii="Times New Roman" w:hAnsi="Times New Roman"/>
      <w:sz w:val="18"/>
      <w:szCs w:val="18"/>
    </w:rPr>
  </w:style>
  <w:style w:type="character" w:customStyle="1" w:styleId="26">
    <w:name w:val="页眉 Char"/>
    <w:link w:val="9"/>
    <w:semiHidden/>
    <w:qFormat/>
    <w:locked/>
    <w:uiPriority w:val="99"/>
    <w:rPr>
      <w:sz w:val="18"/>
    </w:rPr>
  </w:style>
  <w:style w:type="character" w:customStyle="1" w:styleId="27">
    <w:name w:val="Footer Char"/>
    <w:basedOn w:val="14"/>
    <w:semiHidden/>
    <w:qFormat/>
    <w:uiPriority w:val="99"/>
    <w:rPr>
      <w:rFonts w:ascii="Times New Roman" w:hAnsi="Times New Roman"/>
      <w:sz w:val="18"/>
      <w:szCs w:val="18"/>
    </w:rPr>
  </w:style>
  <w:style w:type="character" w:customStyle="1" w:styleId="28">
    <w:name w:val="页脚 Char"/>
    <w:link w:val="8"/>
    <w:qFormat/>
    <w:locked/>
    <w:uiPriority w:val="99"/>
    <w:rPr>
      <w:sz w:val="18"/>
    </w:rPr>
  </w:style>
  <w:style w:type="character" w:customStyle="1" w:styleId="29">
    <w:name w:val="Body Text Char"/>
    <w:basedOn w:val="14"/>
    <w:semiHidden/>
    <w:qFormat/>
    <w:uiPriority w:val="99"/>
    <w:rPr>
      <w:rFonts w:ascii="Times New Roman" w:hAnsi="Times New Roman"/>
      <w:szCs w:val="24"/>
    </w:rPr>
  </w:style>
  <w:style w:type="character" w:customStyle="1" w:styleId="30">
    <w:name w:val="正文文本 Char"/>
    <w:link w:val="5"/>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Char"/>
    <w:basedOn w:val="14"/>
    <w:link w:val="2"/>
    <w:qFormat/>
    <w:uiPriority w:val="9"/>
    <w:rPr>
      <w:rFonts w:ascii="Times New Roman" w:hAnsi="Times New Roman"/>
      <w:b/>
      <w:bCs/>
      <w:kern w:val="44"/>
      <w:sz w:val="44"/>
      <w:szCs w:val="44"/>
    </w:rPr>
  </w:style>
  <w:style w:type="character" w:customStyle="1" w:styleId="34">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3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14"/>
    <w:link w:val="7"/>
    <w:semiHidden/>
    <w:qFormat/>
    <w:uiPriority w:val="99"/>
    <w:rPr>
      <w:rFonts w:ascii="Times New Roman" w:hAnsi="Times New Roman"/>
      <w:kern w:val="2"/>
      <w:sz w:val="18"/>
      <w:szCs w:val="18"/>
    </w:rPr>
  </w:style>
  <w:style w:type="character" w:customStyle="1" w:styleId="37">
    <w:name w:val="标题 3 Char"/>
    <w:basedOn w:val="14"/>
    <w:link w:val="4"/>
    <w:qFormat/>
    <w:uiPriority w:val="9"/>
    <w:rPr>
      <w:rFonts w:ascii="Times New Roman" w:hAnsi="Times New Roman"/>
      <w:b/>
      <w:bCs/>
      <w:kern w:val="2"/>
      <w:sz w:val="32"/>
      <w:szCs w:val="32"/>
    </w:rPr>
  </w:style>
  <w:style w:type="character" w:customStyle="1" w:styleId="38">
    <w:name w:val="current"/>
    <w:basedOn w:val="14"/>
    <w:qFormat/>
    <w:uiPriority w:val="0"/>
    <w:rPr>
      <w:b/>
      <w:color w:val="FFFFFF"/>
      <w:bdr w:val="single" w:color="E3393A" w:sz="6" w:space="0"/>
      <w:shd w:val="clear" w:fill="E3393A"/>
    </w:rPr>
  </w:style>
  <w:style w:type="character" w:customStyle="1" w:styleId="39">
    <w:name w:val="disabled"/>
    <w:basedOn w:val="14"/>
    <w:qFormat/>
    <w:uiPriority w:val="0"/>
    <w:rPr>
      <w:color w:val="999999"/>
      <w:bdr w:val="single" w:color="C5C5C5" w:sz="6" w:space="0"/>
    </w:rPr>
  </w:style>
  <w:style w:type="paragraph" w:customStyle="1" w:styleId="40">
    <w:name w:val="p0"/>
    <w:basedOn w:val="1"/>
    <w:qFormat/>
    <w:uiPriority w:val="0"/>
    <w:pPr>
      <w:widowControl/>
    </w:pPr>
    <w:rPr>
      <w:kern w:val="0"/>
      <w:szCs w:val="21"/>
    </w:rPr>
  </w:style>
  <w:style w:type="paragraph" w:customStyle="1" w:styleId="41">
    <w:name w:val="〖B01〗一级标题"/>
    <w:next w:val="1"/>
    <w:qFormat/>
    <w:uiPriority w:val="0"/>
    <w:pPr>
      <w:numPr>
        <w:ilvl w:val="0"/>
        <w:numId w:val="1"/>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42">
    <w:name w:val="〖B02〗二级标题"/>
    <w:next w:val="1"/>
    <w:qFormat/>
    <w:uiPriority w:val="0"/>
    <w:pPr>
      <w:widowControl w:val="0"/>
      <w:numPr>
        <w:ilvl w:val="0"/>
        <w:numId w:val="2"/>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43">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character" w:customStyle="1" w:styleId="44">
    <w:name w:val="font2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2C6D0-519F-404C-8D2C-1DD05C907B1F}">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1441</Words>
  <Characters>8219</Characters>
  <Lines>68</Lines>
  <Paragraphs>19</Paragraphs>
  <TotalTime>1</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章章</cp:lastModifiedBy>
  <cp:lastPrinted>2019-09-26T07:13:00Z</cp:lastPrinted>
  <dcterms:modified xsi:type="dcterms:W3CDTF">2019-09-29T02:32:43Z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