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0" w:beforeAutospacing="0" w:after="0" w:afterAutospacing="0"/>
        <w:jc w:val="center"/>
        <w:rPr>
          <w:rFonts w:hint="eastAsia" w:ascii="Times New Roman" w:hAnsi="Times New Roman" w:eastAsia="方正小标宋简体" w:cs="方正小标宋简体"/>
          <w:sz w:val="72"/>
          <w:szCs w:val="7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72"/>
          <w:szCs w:val="72"/>
          <w:lang w:bidi="ar"/>
        </w:rPr>
      </w:pPr>
      <w:bookmarkStart w:id="0" w:name="_GoBack"/>
      <w:bookmarkEnd w:id="0"/>
    </w:p>
    <w:p>
      <w:pPr>
        <w:pStyle w:val="4"/>
        <w:widowControl/>
        <w:spacing w:before="0" w:beforeAutospacing="0" w:after="0" w:afterAutospacing="0"/>
        <w:jc w:val="center"/>
        <w:rPr>
          <w:rFonts w:hint="eastAsia" w:ascii="Times New Roman" w:hAnsi="Times New Roman" w:eastAsia="方正小标宋简体" w:cs="方正小标宋简体"/>
          <w:sz w:val="72"/>
          <w:szCs w:val="7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72"/>
          <w:szCs w:val="7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72"/>
          <w:szCs w:val="72"/>
          <w:lang w:bidi="ar"/>
        </w:rPr>
      </w:pPr>
    </w:p>
    <w:p>
      <w:pPr>
        <w:widowControl/>
        <w:jc w:val="center"/>
        <w:outlineLvl w:val="0"/>
        <w:rPr>
          <w:rFonts w:hint="eastAsia" w:ascii="Times New Roman" w:hAnsi="Times New Roman" w:eastAsia="方正小标宋简体" w:cs="方正小标宋简体"/>
          <w:kern w:val="0"/>
          <w:sz w:val="72"/>
          <w:szCs w:val="72"/>
          <w:lang w:val="en-US" w:eastAsia="zh-CN" w:bidi="ar"/>
        </w:rPr>
      </w:pPr>
      <w:r>
        <w:rPr>
          <w:rFonts w:hint="eastAsia" w:ascii="Times New Roman" w:hAnsi="Times New Roman" w:eastAsia="方正小标宋简体" w:cs="方正小标宋简体"/>
          <w:kern w:val="0"/>
          <w:sz w:val="72"/>
          <w:szCs w:val="72"/>
          <w:lang w:val="en-US" w:eastAsia="zh-CN" w:bidi="ar"/>
        </w:rPr>
        <w:t>乐山市奥林匹克学校</w:t>
      </w:r>
    </w:p>
    <w:p>
      <w:pPr>
        <w:widowControl/>
        <w:ind w:firstLine="880"/>
        <w:jc w:val="center"/>
        <w:outlineLvl w:val="0"/>
        <w:rPr>
          <w:rFonts w:hint="eastAsia" w:ascii="Times New Roman" w:hAnsi="Times New Roman" w:eastAsia="方正小标宋简体" w:cs="方正小标宋简体"/>
          <w:kern w:val="0"/>
          <w:sz w:val="72"/>
          <w:szCs w:val="72"/>
          <w:lang w:bidi="ar"/>
        </w:rPr>
      </w:pPr>
      <w:r>
        <w:rPr>
          <w:rFonts w:hint="eastAsia" w:ascii="Times New Roman" w:hAnsi="Times New Roman" w:eastAsia="方正小标宋简体" w:cs="方正小标宋简体"/>
          <w:kern w:val="0"/>
          <w:sz w:val="72"/>
          <w:szCs w:val="72"/>
          <w:lang w:bidi="ar"/>
        </w:rPr>
        <w:t>202</w:t>
      </w:r>
      <w:r>
        <w:rPr>
          <w:rFonts w:hint="eastAsia" w:ascii="Times New Roman" w:hAnsi="Times New Roman" w:eastAsia="方正小标宋简体" w:cs="方正小标宋简体"/>
          <w:kern w:val="0"/>
          <w:sz w:val="72"/>
          <w:szCs w:val="72"/>
          <w:lang w:val="en-US" w:eastAsia="zh-CN" w:bidi="ar"/>
        </w:rPr>
        <w:t>4</w:t>
      </w:r>
      <w:r>
        <w:rPr>
          <w:rFonts w:hint="eastAsia" w:ascii="Times New Roman" w:hAnsi="Times New Roman" w:eastAsia="方正小标宋简体" w:cs="方正小标宋简体"/>
          <w:kern w:val="0"/>
          <w:sz w:val="72"/>
          <w:szCs w:val="72"/>
          <w:lang w:bidi="ar"/>
        </w:rPr>
        <w:t>年预算</w:t>
      </w:r>
    </w:p>
    <w:p>
      <w:pPr>
        <w:widowControl/>
        <w:ind w:firstLine="880"/>
        <w:jc w:val="center"/>
        <w:outlineLvl w:val="0"/>
        <w:rPr>
          <w:rFonts w:hint="eastAsia" w:ascii="Times New Roman" w:hAnsi="Times New Roman" w:eastAsia="方正小标宋简体" w:cs="方正小标宋简体"/>
          <w:kern w:val="0"/>
          <w:sz w:val="44"/>
          <w:szCs w:val="44"/>
          <w:lang w:bidi="ar"/>
        </w:rPr>
      </w:pPr>
    </w:p>
    <w:p>
      <w:pPr>
        <w:widowControl/>
        <w:ind w:firstLine="880"/>
        <w:jc w:val="center"/>
        <w:outlineLvl w:val="0"/>
        <w:rPr>
          <w:rFonts w:hint="eastAsia" w:ascii="Times New Roman" w:hAnsi="Times New Roman" w:eastAsia="方正小标宋简体" w:cs="方正小标宋简体"/>
          <w:kern w:val="0"/>
          <w:sz w:val="44"/>
          <w:szCs w:val="44"/>
          <w:lang w:bidi="ar"/>
        </w:rPr>
      </w:pPr>
    </w:p>
    <w:p>
      <w:pPr>
        <w:widowControl/>
        <w:ind w:firstLine="880"/>
        <w:jc w:val="center"/>
        <w:outlineLvl w:val="0"/>
        <w:rPr>
          <w:rFonts w:hint="eastAsia" w:ascii="Times New Roman" w:hAnsi="Times New Roman" w:eastAsia="方正小标宋简体" w:cs="方正小标宋简体"/>
          <w:kern w:val="0"/>
          <w:sz w:val="44"/>
          <w:szCs w:val="44"/>
          <w:lang w:bidi="ar"/>
        </w:rPr>
      </w:pPr>
    </w:p>
    <w:p>
      <w:pPr>
        <w:widowControl/>
        <w:ind w:firstLine="880"/>
        <w:jc w:val="center"/>
        <w:outlineLvl w:val="0"/>
        <w:rPr>
          <w:rFonts w:hint="eastAsia" w:ascii="Times New Roman" w:hAnsi="Times New Roman" w:eastAsia="方正小标宋简体" w:cs="方正小标宋简体"/>
          <w:kern w:val="0"/>
          <w:sz w:val="44"/>
          <w:szCs w:val="44"/>
          <w:lang w:bidi="ar"/>
        </w:rPr>
      </w:pPr>
    </w:p>
    <w:p>
      <w:pPr>
        <w:widowControl/>
        <w:ind w:firstLine="880"/>
        <w:jc w:val="center"/>
        <w:outlineLvl w:val="0"/>
        <w:rPr>
          <w:rFonts w:hint="eastAsia" w:ascii="Times New Roman" w:hAnsi="Times New Roman" w:eastAsia="方正小标宋简体" w:cs="方正小标宋简体"/>
          <w:kern w:val="0"/>
          <w:sz w:val="44"/>
          <w:szCs w:val="44"/>
          <w:lang w:bidi="ar"/>
        </w:rPr>
      </w:pPr>
    </w:p>
    <w:p>
      <w:pPr>
        <w:widowControl/>
        <w:ind w:firstLine="880"/>
        <w:jc w:val="center"/>
        <w:outlineLvl w:val="0"/>
        <w:rPr>
          <w:rFonts w:hint="eastAsia" w:ascii="Times New Roman" w:hAnsi="Times New Roman" w:eastAsia="方正小标宋简体" w:cs="方正小标宋简体"/>
          <w:kern w:val="0"/>
          <w:sz w:val="44"/>
          <w:szCs w:val="44"/>
          <w:lang w:bidi="ar"/>
        </w:rPr>
      </w:pPr>
    </w:p>
    <w:p>
      <w:pPr>
        <w:widowControl/>
        <w:ind w:firstLine="880"/>
        <w:jc w:val="center"/>
        <w:outlineLvl w:val="0"/>
        <w:rPr>
          <w:rFonts w:hint="eastAsia" w:ascii="Times New Roman" w:hAnsi="Times New Roman" w:eastAsia="方正小标宋简体" w:cs="方正小标宋简体"/>
          <w:kern w:val="0"/>
          <w:sz w:val="44"/>
          <w:szCs w:val="44"/>
          <w:lang w:bidi="ar"/>
        </w:rPr>
      </w:pPr>
    </w:p>
    <w:p>
      <w:pPr>
        <w:widowControl/>
        <w:ind w:firstLine="880"/>
        <w:jc w:val="center"/>
        <w:outlineLvl w:val="0"/>
        <w:rPr>
          <w:rFonts w:hint="eastAsia" w:ascii="Times New Roman" w:hAnsi="Times New Roman" w:eastAsia="方正小标宋简体" w:cs="方正小标宋简体"/>
          <w:kern w:val="0"/>
          <w:sz w:val="44"/>
          <w:szCs w:val="44"/>
          <w:lang w:bidi="ar"/>
        </w:rPr>
      </w:pPr>
    </w:p>
    <w:p>
      <w:pPr>
        <w:widowControl/>
        <w:ind w:firstLine="880"/>
        <w:jc w:val="center"/>
        <w:outlineLvl w:val="0"/>
        <w:rPr>
          <w:rFonts w:hint="eastAsia" w:ascii="Times New Roman" w:hAnsi="Times New Roman" w:eastAsia="方正小标宋简体" w:cs="方正小标宋简体"/>
          <w:kern w:val="0"/>
          <w:sz w:val="44"/>
          <w:szCs w:val="44"/>
          <w:lang w:bidi="ar"/>
        </w:rPr>
      </w:pPr>
    </w:p>
    <w:p>
      <w:pPr>
        <w:widowControl/>
        <w:ind w:firstLine="880"/>
        <w:jc w:val="center"/>
        <w:outlineLvl w:val="0"/>
        <w:rPr>
          <w:rFonts w:hint="eastAsia" w:ascii="Times New Roman" w:hAnsi="Times New Roman" w:eastAsia="方正小标宋简体" w:cs="方正小标宋简体"/>
          <w:kern w:val="0"/>
          <w:sz w:val="44"/>
          <w:szCs w:val="44"/>
          <w:lang w:bidi="ar"/>
        </w:rPr>
      </w:pPr>
    </w:p>
    <w:p>
      <w:pPr>
        <w:widowControl/>
        <w:ind w:firstLine="880"/>
        <w:jc w:val="center"/>
        <w:outlineLvl w:val="0"/>
        <w:rPr>
          <w:rStyle w:val="7"/>
          <w:rFonts w:ascii="Times New Roman" w:hAnsi="Times New Roman" w:eastAsia="黑体" w:cs="宋体"/>
          <w:color w:val="333333"/>
          <w:sz w:val="32"/>
          <w:szCs w:val="21"/>
        </w:rPr>
      </w:pPr>
      <w:r>
        <w:rPr>
          <w:rFonts w:hint="eastAsia" w:ascii="Times New Roman" w:hAnsi="Times New Roman" w:eastAsia="方正小标宋简体" w:cs="方正小标宋简体"/>
          <w:kern w:val="0"/>
          <w:sz w:val="44"/>
          <w:szCs w:val="44"/>
          <w:lang w:bidi="ar"/>
        </w:rPr>
        <w:t>目录</w:t>
      </w:r>
    </w:p>
    <w:p>
      <w:pPr>
        <w:pStyle w:val="4"/>
        <w:widowControl/>
        <w:spacing w:before="0" w:beforeAutospacing="0" w:after="0" w:afterAutospacing="0" w:line="600" w:lineRule="exact"/>
        <w:ind w:firstLine="640" w:firstLineChars="200"/>
        <w:jc w:val="both"/>
        <w:outlineLvl w:val="0"/>
        <w:rPr>
          <w:rFonts w:ascii="Times New Roman" w:hAnsi="Times New Roman" w:cs="宋体"/>
          <w:bCs/>
          <w:color w:val="333333"/>
          <w:sz w:val="21"/>
          <w:szCs w:val="21"/>
        </w:rPr>
      </w:pPr>
      <w:r>
        <w:rPr>
          <w:rStyle w:val="7"/>
          <w:rFonts w:ascii="Times New Roman" w:hAnsi="Times New Roman" w:eastAsia="黑体" w:cs="宋体"/>
          <w:b w:val="0"/>
          <w:bCs/>
          <w:color w:val="333333"/>
          <w:sz w:val="32"/>
          <w:szCs w:val="21"/>
        </w:rPr>
        <w:t>第一部分</w:t>
      </w:r>
      <w:r>
        <w:rPr>
          <w:rStyle w:val="7"/>
          <w:rFonts w:hint="eastAsia" w:ascii="Times New Roman" w:hAnsi="Times New Roman" w:eastAsia="黑体" w:cs="宋体"/>
          <w:b w:val="0"/>
          <w:bCs/>
          <w:color w:val="333333"/>
          <w:sz w:val="32"/>
          <w:szCs w:val="21"/>
        </w:rPr>
        <w:t xml:space="preserve"> </w:t>
      </w:r>
      <w:r>
        <w:rPr>
          <w:rStyle w:val="7"/>
          <w:rFonts w:ascii="Times New Roman" w:hAnsi="Times New Roman" w:eastAsia="黑体" w:cs="宋体"/>
          <w:b w:val="0"/>
          <w:bCs/>
          <w:color w:val="333333"/>
          <w:sz w:val="32"/>
          <w:szCs w:val="21"/>
        </w:rPr>
        <w:t xml:space="preserve"> </w:t>
      </w:r>
      <w:r>
        <w:rPr>
          <w:rStyle w:val="7"/>
          <w:rFonts w:hint="eastAsia" w:ascii="Times New Roman" w:hAnsi="Times New Roman" w:eastAsia="黑体" w:cs="宋体"/>
          <w:b w:val="0"/>
          <w:bCs/>
          <w:color w:val="333333"/>
          <w:sz w:val="32"/>
          <w:szCs w:val="21"/>
          <w:lang w:val="en-US" w:eastAsia="zh-CN"/>
        </w:rPr>
        <w:t>乐山市奥林匹克学校</w:t>
      </w:r>
      <w:r>
        <w:rPr>
          <w:rStyle w:val="7"/>
          <w:rFonts w:ascii="Times New Roman" w:hAnsi="Times New Roman" w:eastAsia="黑体" w:cs="宋体"/>
          <w:b w:val="0"/>
          <w:bCs/>
          <w:color w:val="333333"/>
          <w:sz w:val="32"/>
          <w:szCs w:val="21"/>
        </w:rPr>
        <w:t>概况</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一、基本职能及主要工作</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二、</w:t>
      </w: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预算单位构成</w:t>
      </w:r>
    </w:p>
    <w:p>
      <w:pPr>
        <w:pStyle w:val="4"/>
        <w:widowControl/>
        <w:spacing w:before="0" w:beforeAutospacing="0" w:after="0" w:afterAutospacing="0" w:line="600" w:lineRule="exact"/>
        <w:ind w:firstLine="640" w:firstLineChars="200"/>
        <w:jc w:val="both"/>
        <w:outlineLvl w:val="0"/>
        <w:rPr>
          <w:rFonts w:ascii="Times New Roman" w:hAnsi="Times New Roman" w:cs="宋体"/>
          <w:bCs/>
          <w:color w:val="333333"/>
          <w:sz w:val="21"/>
          <w:szCs w:val="21"/>
        </w:rPr>
      </w:pPr>
      <w:r>
        <w:rPr>
          <w:rStyle w:val="7"/>
          <w:rFonts w:ascii="Times New Roman" w:hAnsi="Times New Roman" w:eastAsia="黑体" w:cs="宋体"/>
          <w:b w:val="0"/>
          <w:bCs/>
          <w:color w:val="333333"/>
          <w:sz w:val="32"/>
          <w:szCs w:val="21"/>
        </w:rPr>
        <w:t>第二部分</w:t>
      </w:r>
      <w:r>
        <w:rPr>
          <w:rStyle w:val="7"/>
          <w:rFonts w:hint="eastAsia" w:ascii="Times New Roman" w:hAnsi="Times New Roman" w:eastAsia="黑体" w:cs="宋体"/>
          <w:b w:val="0"/>
          <w:bCs/>
          <w:color w:val="333333"/>
          <w:sz w:val="32"/>
          <w:szCs w:val="21"/>
        </w:rPr>
        <w:t xml:space="preserve"> </w:t>
      </w:r>
      <w:r>
        <w:rPr>
          <w:rStyle w:val="7"/>
          <w:rFonts w:hint="eastAsia" w:ascii="Times New Roman" w:hAnsi="Times New Roman" w:eastAsia="黑体" w:cs="宋体"/>
          <w:b w:val="0"/>
          <w:bCs/>
          <w:color w:val="333333"/>
          <w:sz w:val="32"/>
          <w:szCs w:val="21"/>
          <w:lang w:val="en-US" w:eastAsia="zh-CN"/>
        </w:rPr>
        <w:t>乐山市奥林匹克学校</w:t>
      </w:r>
      <w:r>
        <w:rPr>
          <w:rStyle w:val="7"/>
          <w:rFonts w:ascii="Times New Roman" w:hAnsi="Times New Roman" w:eastAsia="黑体" w:cs="宋体"/>
          <w:b w:val="0"/>
          <w:bCs/>
          <w:color w:val="333333"/>
          <w:sz w:val="32"/>
          <w:szCs w:val="21"/>
        </w:rPr>
        <w:t>202</w:t>
      </w:r>
      <w:r>
        <w:rPr>
          <w:rStyle w:val="7"/>
          <w:rFonts w:hint="eastAsia" w:ascii="Times New Roman" w:hAnsi="Times New Roman" w:eastAsia="黑体" w:cs="宋体"/>
          <w:b w:val="0"/>
          <w:bCs/>
          <w:color w:val="333333"/>
          <w:sz w:val="32"/>
          <w:szCs w:val="21"/>
          <w:lang w:val="en-US" w:eastAsia="zh-CN"/>
        </w:rPr>
        <w:t>4</w:t>
      </w:r>
      <w:r>
        <w:rPr>
          <w:rStyle w:val="7"/>
          <w:rFonts w:ascii="Times New Roman" w:hAnsi="Times New Roman" w:eastAsia="黑体" w:cs="宋体"/>
          <w:b w:val="0"/>
          <w:bCs/>
          <w:color w:val="333333"/>
          <w:sz w:val="32"/>
          <w:szCs w:val="21"/>
        </w:rPr>
        <w:t>年</w:t>
      </w:r>
      <w:r>
        <w:rPr>
          <w:rStyle w:val="7"/>
          <w:rFonts w:hint="eastAsia" w:ascii="Times New Roman" w:hAnsi="Times New Roman" w:eastAsia="黑体" w:cs="宋体"/>
          <w:b w:val="0"/>
          <w:bCs/>
          <w:color w:val="333333"/>
          <w:sz w:val="32"/>
          <w:szCs w:val="21"/>
          <w:lang w:eastAsia="zh-CN"/>
        </w:rPr>
        <w:t>单位</w:t>
      </w:r>
      <w:r>
        <w:rPr>
          <w:rStyle w:val="7"/>
          <w:rFonts w:ascii="Times New Roman" w:hAnsi="Times New Roman" w:eastAsia="黑体" w:cs="宋体"/>
          <w:b w:val="0"/>
          <w:bCs/>
          <w:color w:val="333333"/>
          <w:sz w:val="32"/>
          <w:szCs w:val="21"/>
        </w:rPr>
        <w:t>预算表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一、</w:t>
      </w: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收支总表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二、</w:t>
      </w: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收入总表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三、</w:t>
      </w: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支出总表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四、财政拨款收支预算总表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五、财政拨款支出预算表（</w:t>
      </w: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经济分类科目）</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六、一般公共预算支出预算表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七、一般公共预算基本支出预算表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八、一般公共预算项目支出预算表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九、一般公共预算“三公”经费支出预算表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十、政府性基金预算支出表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十一、政府性基金预算“三公”经费支出预算表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十二、国有资本经营预算支出表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十三、</w:t>
      </w: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预算项目支出绩效目标表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十四、</w:t>
      </w: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整体支出绩效目标表</w:t>
      </w: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十五、政府采购预算表</w:t>
      </w:r>
    </w:p>
    <w:p>
      <w:pPr>
        <w:pStyle w:val="4"/>
        <w:widowControl/>
        <w:spacing w:before="0" w:beforeAutospacing="0" w:after="0" w:afterAutospacing="0" w:line="600" w:lineRule="exact"/>
        <w:ind w:firstLine="640" w:firstLineChars="200"/>
        <w:jc w:val="both"/>
        <w:outlineLvl w:val="0"/>
        <w:rPr>
          <w:rStyle w:val="7"/>
          <w:rFonts w:ascii="Times New Roman" w:hAnsi="Times New Roman" w:eastAsia="黑体" w:cs="宋体"/>
          <w:b w:val="0"/>
          <w:bCs/>
          <w:color w:val="333333"/>
          <w:sz w:val="32"/>
          <w:szCs w:val="21"/>
        </w:rPr>
      </w:pPr>
      <w:r>
        <w:rPr>
          <w:rStyle w:val="7"/>
          <w:rFonts w:ascii="Times New Roman" w:hAnsi="Times New Roman" w:eastAsia="黑体" w:cs="宋体"/>
          <w:b w:val="0"/>
          <w:bCs/>
          <w:color w:val="333333"/>
          <w:sz w:val="32"/>
          <w:szCs w:val="21"/>
        </w:rPr>
        <w:t>第三部分</w:t>
      </w:r>
      <w:r>
        <w:rPr>
          <w:rStyle w:val="7"/>
          <w:rFonts w:hint="eastAsia" w:ascii="Times New Roman" w:hAnsi="Times New Roman" w:eastAsia="黑体" w:cs="宋体"/>
          <w:b w:val="0"/>
          <w:bCs/>
          <w:color w:val="333333"/>
          <w:sz w:val="32"/>
          <w:szCs w:val="21"/>
        </w:rPr>
        <w:t xml:space="preserve"> </w:t>
      </w:r>
      <w:r>
        <w:rPr>
          <w:rStyle w:val="7"/>
          <w:rFonts w:hint="eastAsia" w:ascii="Times New Roman" w:hAnsi="Times New Roman" w:eastAsia="黑体" w:cs="宋体"/>
          <w:b w:val="0"/>
          <w:bCs/>
          <w:color w:val="333333"/>
          <w:sz w:val="32"/>
          <w:szCs w:val="21"/>
          <w:lang w:val="en-US" w:eastAsia="zh-CN"/>
        </w:rPr>
        <w:t>乐山市奥林匹克学校</w:t>
      </w:r>
      <w:r>
        <w:rPr>
          <w:rStyle w:val="7"/>
          <w:rFonts w:ascii="Times New Roman" w:hAnsi="Times New Roman" w:eastAsia="黑体" w:cs="宋体"/>
          <w:b w:val="0"/>
          <w:bCs/>
          <w:color w:val="333333"/>
          <w:sz w:val="32"/>
          <w:szCs w:val="21"/>
        </w:rPr>
        <w:t>202</w:t>
      </w:r>
      <w:r>
        <w:rPr>
          <w:rStyle w:val="7"/>
          <w:rFonts w:hint="eastAsia" w:ascii="Times New Roman" w:hAnsi="Times New Roman" w:eastAsia="黑体" w:cs="宋体"/>
          <w:b w:val="0"/>
          <w:bCs/>
          <w:color w:val="333333"/>
          <w:sz w:val="32"/>
          <w:szCs w:val="21"/>
          <w:lang w:val="en-US" w:eastAsia="zh-CN"/>
        </w:rPr>
        <w:t>4</w:t>
      </w:r>
      <w:r>
        <w:rPr>
          <w:rStyle w:val="7"/>
          <w:rFonts w:ascii="Times New Roman" w:hAnsi="Times New Roman" w:eastAsia="黑体" w:cs="宋体"/>
          <w:b w:val="0"/>
          <w:bCs/>
          <w:color w:val="333333"/>
          <w:sz w:val="32"/>
          <w:szCs w:val="21"/>
        </w:rPr>
        <w:t>年</w:t>
      </w:r>
      <w:r>
        <w:rPr>
          <w:rStyle w:val="7"/>
          <w:rFonts w:hint="eastAsia" w:ascii="Times New Roman" w:hAnsi="Times New Roman" w:eastAsia="黑体" w:cs="宋体"/>
          <w:b w:val="0"/>
          <w:bCs/>
          <w:color w:val="333333"/>
          <w:sz w:val="32"/>
          <w:szCs w:val="21"/>
          <w:lang w:eastAsia="zh-CN"/>
        </w:rPr>
        <w:t>单位</w:t>
      </w:r>
      <w:r>
        <w:rPr>
          <w:rStyle w:val="7"/>
          <w:rFonts w:ascii="Times New Roman" w:hAnsi="Times New Roman" w:eastAsia="黑体" w:cs="宋体"/>
          <w:b w:val="0"/>
          <w:bCs/>
          <w:color w:val="333333"/>
          <w:sz w:val="32"/>
          <w:szCs w:val="21"/>
        </w:rPr>
        <w:t>预算情况说明</w:t>
      </w:r>
    </w:p>
    <w:p>
      <w:pPr>
        <w:pStyle w:val="4"/>
        <w:widowControl/>
        <w:spacing w:before="0" w:beforeAutospacing="0" w:after="0" w:afterAutospacing="0" w:line="600" w:lineRule="exact"/>
        <w:ind w:firstLine="640" w:firstLineChars="200"/>
        <w:jc w:val="both"/>
        <w:outlineLvl w:val="0"/>
        <w:rPr>
          <w:rStyle w:val="7"/>
          <w:rFonts w:ascii="Times New Roman" w:hAnsi="Times New Roman" w:eastAsia="黑体" w:cs="宋体"/>
          <w:b w:val="0"/>
          <w:bCs/>
          <w:color w:val="333333"/>
          <w:sz w:val="32"/>
          <w:szCs w:val="21"/>
        </w:rPr>
      </w:pPr>
      <w:r>
        <w:rPr>
          <w:rStyle w:val="7"/>
          <w:rFonts w:ascii="Times New Roman" w:hAnsi="Times New Roman" w:eastAsia="黑体" w:cs="宋体"/>
          <w:b w:val="0"/>
          <w:bCs/>
          <w:color w:val="333333"/>
          <w:sz w:val="32"/>
          <w:szCs w:val="21"/>
        </w:rPr>
        <w:t>第四部分</w:t>
      </w:r>
      <w:r>
        <w:rPr>
          <w:rStyle w:val="7"/>
          <w:rFonts w:hint="eastAsia" w:ascii="Times New Roman" w:hAnsi="Times New Roman" w:eastAsia="黑体" w:cs="宋体"/>
          <w:b w:val="0"/>
          <w:bCs/>
          <w:color w:val="333333"/>
          <w:sz w:val="32"/>
          <w:szCs w:val="21"/>
        </w:rPr>
        <w:t xml:space="preserve">  </w:t>
      </w:r>
      <w:r>
        <w:rPr>
          <w:rStyle w:val="7"/>
          <w:rFonts w:ascii="Times New Roman" w:hAnsi="Times New Roman" w:eastAsia="黑体" w:cs="宋体"/>
          <w:b w:val="0"/>
          <w:bCs/>
          <w:color w:val="333333"/>
          <w:sz w:val="32"/>
          <w:szCs w:val="21"/>
        </w:rPr>
        <w:t>名词解释</w:t>
      </w: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sectPr>
          <w:footerReference r:id="rId3" w:type="default"/>
          <w:pgSz w:w="11906" w:h="16838"/>
          <w:pgMar w:top="1440" w:right="1800" w:bottom="1440" w:left="1800" w:header="720" w:footer="720" w:gutter="0"/>
          <w:pgNumType w:fmt="numberInDash" w:start="1"/>
          <w:cols w:space="720" w:num="1"/>
          <w:docGrid w:type="lines" w:linePitch="312" w:charSpace="0"/>
        </w:sect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outlineLvl w:val="0"/>
        <w:rPr>
          <w:rFonts w:hint="eastAsia" w:ascii="Times New Roman" w:hAnsi="Times New Roman" w:eastAsia="方正小标宋简体" w:cs="方正小标宋简体"/>
          <w:sz w:val="52"/>
          <w:szCs w:val="52"/>
          <w:lang w:bidi="ar"/>
        </w:rPr>
      </w:pPr>
      <w:r>
        <w:rPr>
          <w:rFonts w:hint="eastAsia" w:ascii="Times New Roman" w:hAnsi="Times New Roman" w:eastAsia="方正小标宋简体" w:cs="方正小标宋简体"/>
          <w:sz w:val="52"/>
          <w:szCs w:val="52"/>
          <w:lang w:bidi="ar"/>
        </w:rPr>
        <w:t>第一部</w:t>
      </w:r>
      <w:r>
        <w:rPr>
          <w:rFonts w:hint="eastAsia" w:ascii="Times New Roman" w:hAnsi="Times New Roman" w:eastAsia="方正小标宋简体" w:cs="方正小标宋简体"/>
          <w:sz w:val="52"/>
          <w:szCs w:val="52"/>
          <w:lang w:val="en-US" w:eastAsia="zh-CN" w:bidi="ar"/>
        </w:rPr>
        <w:t>分乐山市奥林匹克学校</w:t>
      </w:r>
      <w:r>
        <w:rPr>
          <w:rFonts w:hint="eastAsia" w:ascii="Times New Roman" w:hAnsi="Times New Roman" w:eastAsia="方正小标宋简体" w:cs="方正小标宋简体"/>
          <w:sz w:val="52"/>
          <w:szCs w:val="52"/>
          <w:lang w:bidi="ar"/>
        </w:rPr>
        <w:t>概况</w:t>
      </w:r>
    </w:p>
    <w:p>
      <w:pPr>
        <w:pStyle w:val="4"/>
        <w:widowControl/>
        <w:adjustRightInd w:val="0"/>
        <w:spacing w:before="0" w:beforeAutospacing="0" w:after="0" w:afterAutospacing="0"/>
        <w:ind w:firstLine="640" w:firstLineChars="200"/>
        <w:jc w:val="both"/>
        <w:rPr>
          <w:rStyle w:val="7"/>
          <w:rFonts w:hint="eastAsia" w:ascii="Times New Roman" w:hAnsi="Times New Roman" w:eastAsia="黑体" w:cs="宋体"/>
          <w:b w:val="0"/>
          <w:bCs/>
          <w:color w:val="333333"/>
          <w:sz w:val="32"/>
          <w:szCs w:val="21"/>
        </w:rPr>
        <w:sectPr>
          <w:footerReference r:id="rId4" w:type="default"/>
          <w:pgSz w:w="11906" w:h="16838"/>
          <w:pgMar w:top="1440" w:right="1800" w:bottom="1440" w:left="1800" w:header="720" w:footer="720" w:gutter="0"/>
          <w:pgNumType w:fmt="numberInDash" w:start="1"/>
          <w:cols w:space="720" w:num="1"/>
          <w:docGrid w:type="lines" w:linePitch="312" w:charSpace="0"/>
        </w:sectPr>
      </w:pPr>
    </w:p>
    <w:p>
      <w:pPr>
        <w:pStyle w:val="4"/>
        <w:widowControl/>
        <w:adjustRightInd w:val="0"/>
        <w:spacing w:before="0" w:beforeAutospacing="0" w:after="0" w:afterAutospacing="0"/>
        <w:ind w:firstLine="640" w:firstLineChars="200"/>
        <w:jc w:val="both"/>
        <w:outlineLvl w:val="1"/>
        <w:rPr>
          <w:rStyle w:val="7"/>
          <w:rFonts w:hint="eastAsia" w:ascii="Times New Roman" w:hAnsi="Times New Roman" w:eastAsia="黑体" w:cs="宋体"/>
          <w:b w:val="0"/>
          <w:bCs/>
          <w:color w:val="333333"/>
          <w:sz w:val="32"/>
          <w:szCs w:val="21"/>
        </w:rPr>
      </w:pPr>
      <w:r>
        <w:rPr>
          <w:rStyle w:val="7"/>
          <w:rFonts w:hint="eastAsia" w:ascii="Times New Roman" w:hAnsi="Times New Roman" w:eastAsia="黑体" w:cs="宋体"/>
          <w:b w:val="0"/>
          <w:bCs/>
          <w:color w:val="333333"/>
          <w:sz w:val="32"/>
          <w:szCs w:val="21"/>
        </w:rPr>
        <w:t>一、基本职能及主要工作</w:t>
      </w:r>
    </w:p>
    <w:p>
      <w:pPr>
        <w:snapToGrid w:val="0"/>
        <w:spacing w:line="520" w:lineRule="exact"/>
        <w:ind w:firstLine="643" w:firstLineChars="200"/>
        <w:jc w:val="left"/>
        <w:rPr>
          <w:rFonts w:hint="eastAsia" w:ascii="Times New Roman" w:hAnsi="Times New Roman" w:eastAsia="楷体_GB2312"/>
          <w:b/>
          <w:sz w:val="32"/>
          <w:szCs w:val="32"/>
        </w:rPr>
      </w:pPr>
      <w:r>
        <w:rPr>
          <w:rFonts w:hint="eastAsia" w:ascii="Times New Roman" w:hAnsi="Times New Roman" w:eastAsia="楷体_GB2312"/>
          <w:b/>
          <w:sz w:val="32"/>
          <w:szCs w:val="32"/>
        </w:rPr>
        <w:t>（一）职能简介。</w:t>
      </w:r>
    </w:p>
    <w:p>
      <w:pPr>
        <w:snapToGrid w:val="0"/>
        <w:spacing w:line="520" w:lineRule="exact"/>
        <w:ind w:firstLine="640" w:firstLineChars="200"/>
        <w:jc w:val="left"/>
        <w:rPr>
          <w:rFonts w:hint="eastAsia" w:ascii="Times New Roman" w:hAnsi="Times New Roman" w:eastAsia="仿宋_GB2312" w:cs="仿宋_GB2312"/>
          <w:bCs/>
          <w:sz w:val="32"/>
          <w:szCs w:val="32"/>
          <w:u w:val="single"/>
        </w:rPr>
      </w:pPr>
      <w:r>
        <w:rPr>
          <w:rFonts w:hint="eastAsia" w:ascii="仿宋_GB2312" w:hAnsi="仿宋" w:eastAsia="仿宋_GB2312" w:cs="Times New Roman"/>
          <w:sz w:val="32"/>
          <w:szCs w:val="32"/>
          <w:lang w:val="en-US" w:eastAsia="zh-CN"/>
        </w:rPr>
        <w:t>乐山市奥林匹克学校</w:t>
      </w:r>
      <w:r>
        <w:rPr>
          <w:rFonts w:hint="eastAsia" w:ascii="仿宋_GB2312" w:hAnsi="仿宋" w:eastAsia="仿宋_GB2312"/>
          <w:sz w:val="32"/>
          <w:szCs w:val="32"/>
        </w:rPr>
        <w:t>主要职能</w:t>
      </w:r>
      <w:r>
        <w:rPr>
          <w:rFonts w:hint="eastAsia" w:ascii="仿宋_GB2312" w:hAnsi="仿宋" w:eastAsia="仿宋_GB2312" w:cs="Times New Roman"/>
          <w:sz w:val="32"/>
          <w:szCs w:val="32"/>
          <w:lang w:val="en-US" w:eastAsia="zh-CN"/>
        </w:rPr>
        <w:t>是全面贯彻党的体育教育方针，培养和输送高水平体育后备人才和社会体育人才，承担乐山市组队参加省运会和全国单项比赛任务</w:t>
      </w:r>
      <w:r>
        <w:rPr>
          <w:rFonts w:hint="eastAsia" w:ascii="仿宋_GB2312" w:hAnsi="仿宋" w:eastAsia="仿宋_GB2312"/>
          <w:sz w:val="32"/>
          <w:szCs w:val="32"/>
        </w:rPr>
        <w:t>。</w:t>
      </w:r>
    </w:p>
    <w:p>
      <w:pPr>
        <w:pStyle w:val="2"/>
        <w:adjustRightInd w:val="0"/>
        <w:spacing w:before="130" w:line="580" w:lineRule="exact"/>
        <w:ind w:firstLine="675" w:firstLineChars="210"/>
        <w:rPr>
          <w:rFonts w:hint="eastAsia" w:ascii="Times New Roman" w:hAnsi="Times New Roman" w:eastAsia="楷体_GB2312"/>
          <w:b/>
          <w:sz w:val="32"/>
          <w:szCs w:val="32"/>
        </w:rPr>
      </w:pPr>
      <w:r>
        <w:rPr>
          <w:rFonts w:hint="eastAsia" w:ascii="Times New Roman" w:hAnsi="Times New Roman" w:eastAsia="楷体_GB2312"/>
          <w:b/>
          <w:sz w:val="32"/>
          <w:szCs w:val="32"/>
        </w:rPr>
        <w:t>（二）202</w:t>
      </w:r>
      <w:r>
        <w:rPr>
          <w:rFonts w:hint="eastAsia" w:ascii="Times New Roman" w:hAnsi="Times New Roman" w:eastAsia="楷体_GB2312"/>
          <w:b/>
          <w:sz w:val="32"/>
          <w:szCs w:val="32"/>
          <w:lang w:val="en-US" w:eastAsia="zh-CN"/>
        </w:rPr>
        <w:t>4</w:t>
      </w:r>
      <w:r>
        <w:rPr>
          <w:rFonts w:hint="eastAsia" w:ascii="Times New Roman" w:hAnsi="Times New Roman" w:eastAsia="楷体_GB2312"/>
          <w:b/>
          <w:sz w:val="32"/>
          <w:szCs w:val="32"/>
        </w:rPr>
        <w:t>年重点工作。</w:t>
      </w:r>
    </w:p>
    <w:p>
      <w:pPr>
        <w:pStyle w:val="2"/>
        <w:adjustRightInd w:val="0"/>
        <w:spacing w:before="130" w:line="580" w:lineRule="exact"/>
        <w:ind w:firstLine="672" w:firstLineChars="210"/>
        <w:rPr>
          <w:rFonts w:hint="default"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en-US" w:eastAsia="zh-CN" w:bidi="ar-SA"/>
        </w:rPr>
        <w:t>完成基本教学工作，完成2024年省十五运会资格赛暨2024年省青少年锦标赛参赛工作。</w:t>
      </w:r>
    </w:p>
    <w:p>
      <w:pPr>
        <w:pStyle w:val="4"/>
        <w:widowControl/>
        <w:spacing w:before="0" w:beforeAutospacing="0" w:after="0" w:afterAutospacing="0" w:line="600" w:lineRule="exact"/>
        <w:ind w:firstLine="640" w:firstLineChars="200"/>
        <w:jc w:val="both"/>
        <w:outlineLvl w:val="1"/>
        <w:rPr>
          <w:rStyle w:val="7"/>
          <w:rFonts w:hint="eastAsia" w:ascii="Times New Roman" w:hAnsi="Times New Roman" w:eastAsia="黑体" w:cs="宋体"/>
          <w:b w:val="0"/>
          <w:bCs/>
          <w:color w:val="333333"/>
          <w:sz w:val="32"/>
          <w:szCs w:val="21"/>
        </w:rPr>
      </w:pPr>
      <w:r>
        <w:rPr>
          <w:rStyle w:val="7"/>
          <w:rFonts w:hint="eastAsia" w:ascii="Times New Roman" w:hAnsi="Times New Roman" w:eastAsia="黑体" w:cs="宋体"/>
          <w:b w:val="0"/>
          <w:bCs/>
          <w:color w:val="333333"/>
          <w:sz w:val="32"/>
          <w:szCs w:val="21"/>
        </w:rPr>
        <w:t>二、</w:t>
      </w:r>
      <w:r>
        <w:rPr>
          <w:rStyle w:val="7"/>
          <w:rFonts w:hint="eastAsia" w:ascii="Times New Roman" w:hAnsi="Times New Roman" w:eastAsia="黑体" w:cs="宋体"/>
          <w:b w:val="0"/>
          <w:bCs/>
          <w:color w:val="333333"/>
          <w:sz w:val="32"/>
          <w:szCs w:val="21"/>
          <w:lang w:eastAsia="zh-CN"/>
        </w:rPr>
        <w:t>单位</w:t>
      </w:r>
      <w:r>
        <w:rPr>
          <w:rStyle w:val="7"/>
          <w:rFonts w:hint="eastAsia" w:ascii="Times New Roman" w:hAnsi="Times New Roman" w:eastAsia="黑体" w:cs="宋体"/>
          <w:b w:val="0"/>
          <w:bCs/>
          <w:color w:val="333333"/>
          <w:sz w:val="32"/>
          <w:szCs w:val="21"/>
        </w:rPr>
        <w:t>预算单位构成</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乐山市奥林匹克学校系全额拨款事业单位，隶属于乐山职业技术学院。</w:t>
      </w: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outlineLvl w:val="0"/>
        <w:rPr>
          <w:rFonts w:hint="eastAsia" w:ascii="Times New Roman" w:hAnsi="Times New Roman" w:eastAsia="方正小标宋简体" w:cs="方正小标宋简体"/>
          <w:sz w:val="52"/>
          <w:szCs w:val="52"/>
          <w:lang w:eastAsia="zh-CN" w:bidi="ar"/>
        </w:rPr>
      </w:pPr>
      <w:r>
        <w:rPr>
          <w:rFonts w:hint="eastAsia" w:ascii="Times New Roman" w:hAnsi="Times New Roman" w:eastAsia="方正小标宋简体" w:cs="方正小标宋简体"/>
          <w:sz w:val="52"/>
          <w:szCs w:val="52"/>
          <w:lang w:bidi="ar"/>
        </w:rPr>
        <w:t xml:space="preserve">第二部分 </w:t>
      </w:r>
      <w:r>
        <w:rPr>
          <w:rFonts w:hint="eastAsia" w:ascii="Times New Roman" w:hAnsi="Times New Roman" w:eastAsia="方正小标宋简体" w:cs="方正小标宋简体"/>
          <w:sz w:val="52"/>
          <w:szCs w:val="52"/>
          <w:lang w:val="en-US" w:eastAsia="zh-CN" w:bidi="ar"/>
        </w:rPr>
        <w:t>乐山市奥林匹克学校</w:t>
      </w:r>
    </w:p>
    <w:p>
      <w:pPr>
        <w:pStyle w:val="4"/>
        <w:widowControl/>
        <w:spacing w:before="0" w:beforeAutospacing="0" w:after="0" w:afterAutospacing="0"/>
        <w:jc w:val="center"/>
        <w:outlineLvl w:val="1"/>
        <w:rPr>
          <w:rFonts w:hint="eastAsia" w:ascii="Times New Roman" w:hAnsi="Times New Roman" w:eastAsia="方正小标宋简体" w:cs="方正小标宋简体"/>
          <w:sz w:val="36"/>
          <w:szCs w:val="36"/>
          <w:lang w:bidi="ar"/>
        </w:rPr>
      </w:pPr>
      <w:r>
        <w:rPr>
          <w:rFonts w:hint="eastAsia" w:ascii="Times New Roman" w:hAnsi="Times New Roman" w:eastAsia="方正小标宋简体" w:cs="方正小标宋简体"/>
          <w:sz w:val="52"/>
          <w:szCs w:val="52"/>
          <w:lang w:bidi="ar"/>
        </w:rPr>
        <w:t>202</w:t>
      </w:r>
      <w:r>
        <w:rPr>
          <w:rFonts w:hint="eastAsia" w:ascii="Times New Roman" w:hAnsi="Times New Roman" w:eastAsia="方正小标宋简体" w:cs="方正小标宋简体"/>
          <w:sz w:val="52"/>
          <w:szCs w:val="52"/>
          <w:lang w:val="en-US" w:eastAsia="zh-CN" w:bidi="ar"/>
        </w:rPr>
        <w:t>4</w:t>
      </w:r>
      <w:r>
        <w:rPr>
          <w:rFonts w:hint="eastAsia" w:ascii="Times New Roman" w:hAnsi="Times New Roman" w:eastAsia="方正小标宋简体" w:cs="方正小标宋简体"/>
          <w:sz w:val="52"/>
          <w:szCs w:val="52"/>
          <w:lang w:bidi="ar"/>
        </w:rPr>
        <w:t>年</w:t>
      </w:r>
      <w:r>
        <w:rPr>
          <w:rFonts w:hint="eastAsia" w:ascii="Times New Roman" w:hAnsi="Times New Roman" w:eastAsia="方正小标宋简体" w:cs="方正小标宋简体"/>
          <w:sz w:val="52"/>
          <w:szCs w:val="52"/>
          <w:lang w:eastAsia="zh-CN" w:bidi="ar"/>
        </w:rPr>
        <w:t>单位</w:t>
      </w:r>
      <w:r>
        <w:rPr>
          <w:rFonts w:hint="eastAsia" w:ascii="Times New Roman" w:hAnsi="Times New Roman" w:eastAsia="方正小标宋简体" w:cs="方正小标宋简体"/>
          <w:sz w:val="52"/>
          <w:szCs w:val="52"/>
          <w:lang w:bidi="ar"/>
        </w:rPr>
        <w:t>预算表</w:t>
      </w:r>
    </w:p>
    <w:p>
      <w:pPr>
        <w:pStyle w:val="4"/>
        <w:widowControl/>
        <w:spacing w:before="450" w:beforeAutospacing="0" w:after="0" w:afterAutospacing="0" w:line="360" w:lineRule="atLeast"/>
        <w:ind w:left="420"/>
        <w:jc w:val="both"/>
        <w:rPr>
          <w:rFonts w:hint="eastAsia" w:ascii="Times New Roman" w:hAnsi="Times New Roman" w:eastAsia="仿宋_GB2312" w:cs="仿宋_GB2312"/>
          <w:color w:val="333333"/>
          <w:sz w:val="32"/>
          <w:szCs w:val="32"/>
        </w:rPr>
        <w:sectPr>
          <w:footerReference r:id="rId5" w:type="default"/>
          <w:pgSz w:w="11906" w:h="16838"/>
          <w:pgMar w:top="1440" w:right="1800" w:bottom="1440" w:left="1800" w:header="720" w:footer="720" w:gutter="0"/>
          <w:pgNumType w:fmt="numberInDash" w:start="1"/>
          <w:cols w:space="720" w:num="1"/>
          <w:docGrid w:type="lines" w:linePitch="312" w:charSpace="0"/>
        </w:sectPr>
      </w:pPr>
    </w:p>
    <w:p>
      <w:pPr>
        <w:pStyle w:val="4"/>
        <w:widowControl/>
        <w:spacing w:before="450" w:beforeAutospacing="0" w:after="0" w:afterAutospacing="0" w:line="360" w:lineRule="atLeast"/>
        <w:ind w:left="420"/>
        <w:jc w:val="both"/>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（插入本</w:t>
      </w: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预算公开表，由附件1-3依序组成）</w:t>
      </w:r>
    </w:p>
    <w:p>
      <w:pPr>
        <w:pStyle w:val="4"/>
        <w:widowControl/>
        <w:numPr>
          <w:ilvl w:val="0"/>
          <w:numId w:val="2"/>
        </w:numPr>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收支总表（公开表1）</w:t>
      </w:r>
    </w:p>
    <w:tbl>
      <w:tblPr>
        <w:tblStyle w:val="5"/>
        <w:tblW w:w="8336" w:type="dxa"/>
        <w:tblInd w:w="0" w:type="dxa"/>
        <w:shd w:val="clear" w:color="auto" w:fill="auto"/>
        <w:tblLayout w:type="autofit"/>
        <w:tblCellMar>
          <w:top w:w="0" w:type="dxa"/>
          <w:left w:w="0" w:type="dxa"/>
          <w:bottom w:w="0" w:type="dxa"/>
          <w:right w:w="0" w:type="dxa"/>
        </w:tblCellMar>
      </w:tblPr>
      <w:tblGrid>
        <w:gridCol w:w="2200"/>
        <w:gridCol w:w="878"/>
        <w:gridCol w:w="2200"/>
        <w:gridCol w:w="3058"/>
      </w:tblGrid>
      <w:tr>
        <w:tblPrEx>
          <w:shd w:val="clear" w:color="auto" w:fill="auto"/>
          <w:tblCellMar>
            <w:top w:w="0" w:type="dxa"/>
            <w:left w:w="0" w:type="dxa"/>
            <w:bottom w:w="0" w:type="dxa"/>
            <w:right w:w="0" w:type="dxa"/>
          </w:tblCellMar>
        </w:tblPrEx>
        <w:trPr>
          <w:trHeight w:val="531" w:hRule="atLeast"/>
        </w:trPr>
        <w:tc>
          <w:tcPr>
            <w:tcW w:w="8336" w:type="dxa"/>
            <w:gridSpan w:val="4"/>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单位收支总表</w:t>
            </w:r>
          </w:p>
        </w:tc>
      </w:tr>
      <w:tr>
        <w:tblPrEx>
          <w:tblCellMar>
            <w:top w:w="0" w:type="dxa"/>
            <w:left w:w="0" w:type="dxa"/>
            <w:bottom w:w="0" w:type="dxa"/>
            <w:right w:w="0" w:type="dxa"/>
          </w:tblCellMar>
        </w:tblPrEx>
        <w:trPr>
          <w:trHeight w:val="339" w:hRule="atLeast"/>
        </w:trPr>
        <w:tc>
          <w:tcPr>
            <w:tcW w:w="220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单位：乐山市奥林匹克学校</w:t>
            </w:r>
          </w:p>
        </w:tc>
        <w:tc>
          <w:tcPr>
            <w:tcW w:w="878" w:type="dxa"/>
            <w:tcBorders>
              <w:top w:val="nil"/>
              <w:left w:val="nil"/>
              <w:bottom w:val="nil"/>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00" w:type="dxa"/>
            <w:tcBorders>
              <w:top w:val="nil"/>
              <w:left w:val="nil"/>
              <w:bottom w:val="nil"/>
              <w:right w:val="nil"/>
            </w:tcBorders>
            <w:shd w:val="clear" w:color="auto" w:fill="auto"/>
            <w:tcMar>
              <w:top w:w="15" w:type="dxa"/>
              <w:left w:w="15" w:type="dxa"/>
              <w:right w:w="15" w:type="dxa"/>
            </w:tcMar>
            <w:vAlign w:val="center"/>
          </w:tcPr>
          <w:p>
            <w:pPr>
              <w:rPr>
                <w:rFonts w:hint="eastAsia" w:ascii="黑体" w:hAnsi="黑体" w:eastAsia="黑体" w:cs="黑体"/>
                <w:i w:val="0"/>
                <w:color w:val="000000"/>
                <w:sz w:val="18"/>
                <w:szCs w:val="18"/>
                <w:u w:val="none"/>
              </w:rPr>
            </w:pPr>
          </w:p>
        </w:tc>
        <w:tc>
          <w:tcPr>
            <w:tcW w:w="3058"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15" w:hRule="atLeast"/>
        </w:trPr>
        <w:tc>
          <w:tcPr>
            <w:tcW w:w="3078" w:type="dxa"/>
            <w:gridSpan w:val="2"/>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5258" w:type="dxa"/>
            <w:gridSpan w:val="2"/>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415" w:hRule="atLeast"/>
        </w:trPr>
        <w:tc>
          <w:tcPr>
            <w:tcW w:w="2200" w:type="dxa"/>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78" w:type="dxa"/>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2200" w:type="dxa"/>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3058" w:type="dxa"/>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 xml:space="preserve">一、一般公共预算拨款收入 </w:t>
            </w: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一、一般公共服务支出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 xml:space="preserve">二、政府性基金预算拨款收入 </w:t>
            </w: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二、外交支出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 xml:space="preserve">三、国有资本经营预算拨款收入 </w:t>
            </w: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三、国防支出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 xml:space="preserve">四、事业收入 </w:t>
            </w: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四、公共安全支出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 xml:space="preserve">五、事业单位经营收入 </w:t>
            </w: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五、教育支出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507.35</w:t>
            </w: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 xml:space="preserve">六、其他收入 </w:t>
            </w: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六、科学技术支出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七、文化旅游体育与传媒支出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八、社会保障和就业支出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九、社会保险基金支出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十、卫生健康支出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十一、节能环保支出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十二、城乡社区支出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十三、农林水支出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十四、交通运输支出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十五、资源勘探工业信息等支出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十六、商业服务业等支出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十七、金融支出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十八、援助其他地区支出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十九、自然资源海洋气象等支出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二十、住房保障支出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51.55</w:t>
            </w: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二十一、粮油物资储备支出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二十二、国有资本经营预算支出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二十三、灾害防治及应急管理支出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二十四、预备费</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二十五、其他支出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二十六、转移性支出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二十七、债务还本支出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二十八、债务付息支出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二十九、债务发行费用支出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Style w:val="14"/>
                <w:lang w:val="en-US" w:eastAsia="zh-CN" w:bidi="ar"/>
              </w:rPr>
              <w:t>三十、抗疫特别国债安排的支出</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15"/>
                <w:lang w:val="en-US" w:eastAsia="zh-CN" w:bidi="ar"/>
              </w:rPr>
              <w:t>本 年 收 入 合 计</w:t>
            </w: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684.50</w:t>
            </w: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15"/>
                <w:lang w:val="en-US" w:eastAsia="zh-CN" w:bidi="ar"/>
              </w:rPr>
              <w:t>本 年 支 出 合 计</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684.50</w:t>
            </w: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七、用事业基金弥补收支差额</w:t>
            </w: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三十一、事业单位结余分配 </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92"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八、上年结转</w:t>
            </w: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其中：转入事业基金</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31"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rPr>
                <w:rFonts w:hint="eastAsia" w:ascii="Hiragino Sans GB" w:hAnsi="Hiragino Sans GB" w:eastAsia="Hiragino Sans GB" w:cs="Hiragino Sans GB"/>
                <w:i w:val="0"/>
                <w:color w:val="000000"/>
                <w:sz w:val="18"/>
                <w:szCs w:val="18"/>
                <w:u w:val="none"/>
              </w:rPr>
            </w:pPr>
          </w:p>
        </w:tc>
        <w:tc>
          <w:tcPr>
            <w:tcW w:w="878" w:type="dxa"/>
            <w:tcBorders>
              <w:top w:val="single" w:color="C0C0C0" w:sz="4" w:space="0"/>
              <w:left w:val="single" w:color="C0C0C0" w:sz="4" w:space="0"/>
              <w:bottom w:val="single" w:color="C0C0C0" w:sz="4" w:space="0"/>
              <w:right w:val="single" w:color="C0C0C0" w:sz="4" w:space="0"/>
            </w:tcBorders>
            <w:shd w:val="clear" w:color="auto" w:fill="auto"/>
            <w:tcMar>
              <w:top w:w="15" w:type="dxa"/>
              <w:left w:w="15" w:type="dxa"/>
              <w:right w:w="15" w:type="dxa"/>
            </w:tcMar>
            <w:vAlign w:val="center"/>
          </w:tcPr>
          <w:p>
            <w:pPr>
              <w:rPr>
                <w:rFonts w:hint="default" w:ascii="Hiragino Sans GB" w:hAnsi="Hiragino Sans GB" w:eastAsia="Hiragino Sans GB" w:cs="Hiragino Sans GB"/>
                <w:i w:val="0"/>
                <w:color w:val="000000"/>
                <w:sz w:val="18"/>
                <w:szCs w:val="18"/>
                <w:u w:val="none"/>
              </w:rPr>
            </w:pP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三十二、结转下年</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8" w:hRule="atLeast"/>
        </w:trPr>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  总  计</w:t>
            </w:r>
          </w:p>
        </w:tc>
        <w:tc>
          <w:tcPr>
            <w:tcW w:w="87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684.50</w:t>
            </w:r>
          </w:p>
        </w:tc>
        <w:tc>
          <w:tcPr>
            <w:tcW w:w="2200"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  总  计</w:t>
            </w:r>
          </w:p>
        </w:tc>
        <w:tc>
          <w:tcPr>
            <w:tcW w:w="3058" w:type="dxa"/>
            <w:tcBorders>
              <w:top w:val="single" w:color="C0C0C0" w:sz="4" w:space="0"/>
              <w:left w:val="single" w:color="C0C0C0" w:sz="4" w:space="0"/>
              <w:bottom w:val="single" w:color="C0C0C0" w:sz="4" w:space="0"/>
              <w:right w:val="single" w:color="C0C0C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684.50</w:t>
            </w:r>
          </w:p>
        </w:tc>
      </w:tr>
    </w:tbl>
    <w:p>
      <w:pPr>
        <w:pStyle w:val="4"/>
        <w:widowControl/>
        <w:numPr>
          <w:ilvl w:val="0"/>
          <w:numId w:val="0"/>
        </w:numPr>
        <w:spacing w:before="0" w:beforeAutospacing="0" w:after="0" w:afterAutospacing="0" w:line="600" w:lineRule="exact"/>
        <w:ind w:right="0" w:rightChars="0"/>
        <w:jc w:val="both"/>
        <w:outlineLvl w:val="1"/>
        <w:rPr>
          <w:rFonts w:hint="eastAsia" w:ascii="Times New Roman" w:hAnsi="Times New Roman" w:eastAsia="仿宋_GB2312" w:cs="仿宋_GB2312"/>
          <w:color w:val="333333"/>
          <w:sz w:val="32"/>
          <w:szCs w:val="32"/>
        </w:rPr>
      </w:pPr>
    </w:p>
    <w:p>
      <w:pPr>
        <w:pStyle w:val="4"/>
        <w:widowControl/>
        <w:numPr>
          <w:ilvl w:val="0"/>
          <w:numId w:val="2"/>
        </w:numPr>
        <w:spacing w:before="0" w:beforeAutospacing="0" w:after="0" w:afterAutospacing="0" w:line="600" w:lineRule="exact"/>
        <w:ind w:left="0" w:leftChars="0"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收入总表（公开表1-1）</w:t>
      </w:r>
    </w:p>
    <w:tbl>
      <w:tblPr>
        <w:tblStyle w:val="5"/>
        <w:tblW w:w="9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2"/>
        <w:gridCol w:w="777"/>
        <w:gridCol w:w="447"/>
        <w:gridCol w:w="1582"/>
        <w:gridCol w:w="623"/>
        <w:gridCol w:w="623"/>
        <w:gridCol w:w="623"/>
        <w:gridCol w:w="623"/>
        <w:gridCol w:w="623"/>
        <w:gridCol w:w="623"/>
        <w:gridCol w:w="623"/>
        <w:gridCol w:w="623"/>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9060" w:type="dxa"/>
            <w:gridSpan w:val="13"/>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19" w:type="dxa"/>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单位：乐山市奥林匹克学校</w:t>
            </w:r>
          </w:p>
        </w:tc>
        <w:tc>
          <w:tcPr>
            <w:tcW w:w="447"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582"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3"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6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3"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28"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419" w:type="dxa"/>
            <w:gridSpan w:val="2"/>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44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58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一般公共预算拨款收入</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政府性基金预算拨款收入</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国有资本经营预算拨款收入</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事业单位经营收入 </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623"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628"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用事业基金弥补收支差额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42"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777" w:type="dxa"/>
            <w:vMerge w:val="restart"/>
            <w:tcBorders>
              <w:top w:val="single" w:color="C2C3C4" w:sz="4" w:space="0"/>
              <w:left w:val="single" w:color="C2C3C4" w:sz="4" w:space="0"/>
              <w:bottom w:val="single" w:color="C2C3C4" w:sz="4" w:space="0"/>
              <w:right w:val="single" w:color="C2C3C4" w:sz="4" w:space="0"/>
            </w:tcBorders>
            <w:shd w:val="clear" w:color="EFF2F7" w:fill="EFF2F7"/>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44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8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64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77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447"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1582"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3"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c>
          <w:tcPr>
            <w:tcW w:w="628" w:type="dxa"/>
            <w:vMerge w:val="continue"/>
            <w:tcBorders>
              <w:top w:val="single" w:color="C2C3C4" w:sz="4" w:space="0"/>
              <w:left w:val="single" w:color="C2C3C4" w:sz="4" w:space="0"/>
              <w:bottom w:val="single" w:color="C2C3C4" w:sz="4" w:space="0"/>
              <w:right w:val="single" w:color="C2C3C4" w:sz="4" w:space="0"/>
            </w:tcBorders>
            <w:shd w:val="clear" w:color="EFF2F7" w:fill="EFF2F7"/>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42"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77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44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582"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8"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642"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777" w:type="dxa"/>
            <w:tcBorders>
              <w:top w:val="single" w:color="C2C3C4" w:sz="4" w:space="0"/>
              <w:left w:val="single" w:color="C2C3C4" w:sz="4" w:space="0"/>
              <w:bottom w:val="single" w:color="C2C3C4" w:sz="4" w:space="0"/>
              <w:right w:val="single" w:color="C2C3C4"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16"/>
                <w:lang w:val="en-US" w:eastAsia="zh-CN" w:bidi="ar"/>
              </w:rPr>
              <w:t>乐山市奥林匹克学校</w:t>
            </w:r>
          </w:p>
        </w:tc>
        <w:tc>
          <w:tcPr>
            <w:tcW w:w="447"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582"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3"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c>
          <w:tcPr>
            <w:tcW w:w="628" w:type="dxa"/>
            <w:tcBorders>
              <w:top w:val="single" w:color="C2C3C4" w:sz="4" w:space="0"/>
              <w:left w:val="single" w:color="C2C3C4" w:sz="4" w:space="0"/>
              <w:bottom w:val="single" w:color="C2C3C4" w:sz="4" w:space="0"/>
              <w:right w:val="single" w:color="C2C3C4" w:sz="4" w:space="0"/>
            </w:tcBorders>
            <w:shd w:val="clear" w:color="FFFFFF" w:fill="FFFFFF"/>
            <w:noWrap/>
            <w:vAlign w:val="center"/>
          </w:tcPr>
          <w:p>
            <w:pPr>
              <w:jc w:val="right"/>
              <w:rPr>
                <w:rFonts w:hint="eastAsia" w:ascii="宋体" w:hAnsi="宋体" w:eastAsia="宋体" w:cs="宋体"/>
                <w:i w:val="0"/>
                <w:iCs w:val="0"/>
                <w:color w:val="000000"/>
                <w:sz w:val="22"/>
                <w:szCs w:val="22"/>
                <w:u w:val="none"/>
              </w:rPr>
            </w:pPr>
          </w:p>
        </w:tc>
      </w:tr>
    </w:tbl>
    <w:p>
      <w:pPr>
        <w:pStyle w:val="4"/>
        <w:widowControl/>
        <w:numPr>
          <w:ilvl w:val="0"/>
          <w:numId w:val="2"/>
        </w:numPr>
        <w:spacing w:before="0" w:beforeAutospacing="0" w:after="0" w:afterAutospacing="0" w:line="600" w:lineRule="exact"/>
        <w:ind w:left="0" w:leftChars="0"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支出总表（公开表1-2）</w:t>
      </w:r>
    </w:p>
    <w:tbl>
      <w:tblPr>
        <w:tblStyle w:val="5"/>
        <w:tblW w:w="8940" w:type="dxa"/>
        <w:tblInd w:w="0" w:type="dxa"/>
        <w:shd w:val="clear" w:color="auto" w:fill="auto"/>
        <w:tblLayout w:type="fixed"/>
        <w:tblCellMar>
          <w:top w:w="0" w:type="dxa"/>
          <w:left w:w="0" w:type="dxa"/>
          <w:bottom w:w="0" w:type="dxa"/>
          <w:right w:w="0" w:type="dxa"/>
        </w:tblCellMar>
      </w:tblPr>
      <w:tblGrid>
        <w:gridCol w:w="316"/>
        <w:gridCol w:w="223"/>
        <w:gridCol w:w="224"/>
        <w:gridCol w:w="597"/>
        <w:gridCol w:w="1370"/>
        <w:gridCol w:w="965"/>
        <w:gridCol w:w="1256"/>
        <w:gridCol w:w="1083"/>
        <w:gridCol w:w="973"/>
        <w:gridCol w:w="1933"/>
      </w:tblGrid>
      <w:tr>
        <w:tblPrEx>
          <w:shd w:val="clear" w:color="auto" w:fill="auto"/>
          <w:tblCellMar>
            <w:top w:w="0" w:type="dxa"/>
            <w:left w:w="0" w:type="dxa"/>
            <w:bottom w:w="0" w:type="dxa"/>
            <w:right w:w="0" w:type="dxa"/>
          </w:tblCellMar>
        </w:tblPrEx>
        <w:trPr>
          <w:trHeight w:val="715" w:hRule="atLeast"/>
        </w:trPr>
        <w:tc>
          <w:tcPr>
            <w:tcW w:w="8940" w:type="dxa"/>
            <w:gridSpan w:val="10"/>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单位支出总表</w:t>
            </w:r>
          </w:p>
        </w:tc>
      </w:tr>
      <w:tr>
        <w:tblPrEx>
          <w:tblCellMar>
            <w:top w:w="0" w:type="dxa"/>
            <w:left w:w="0" w:type="dxa"/>
            <w:bottom w:w="0" w:type="dxa"/>
            <w:right w:w="0" w:type="dxa"/>
          </w:tblCellMar>
        </w:tblPrEx>
        <w:trPr>
          <w:trHeight w:val="474" w:hRule="atLeast"/>
        </w:trPr>
        <w:tc>
          <w:tcPr>
            <w:tcW w:w="2730" w:type="dxa"/>
            <w:gridSpan w:val="5"/>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单位：乐山市奥林匹克学校</w:t>
            </w:r>
          </w:p>
        </w:tc>
        <w:tc>
          <w:tcPr>
            <w:tcW w:w="965"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tc>
        <w:tc>
          <w:tcPr>
            <w:tcW w:w="1256"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tc>
        <w:tc>
          <w:tcPr>
            <w:tcW w:w="1083"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tc>
        <w:tc>
          <w:tcPr>
            <w:tcW w:w="973"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tc>
        <w:tc>
          <w:tcPr>
            <w:tcW w:w="1933"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575" w:hRule="atLeast"/>
        </w:trPr>
        <w:tc>
          <w:tcPr>
            <w:tcW w:w="2730" w:type="dxa"/>
            <w:gridSpan w:val="5"/>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65"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合计</w:t>
            </w:r>
          </w:p>
        </w:tc>
        <w:tc>
          <w:tcPr>
            <w:tcW w:w="1256"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基本支出</w:t>
            </w:r>
          </w:p>
        </w:tc>
        <w:tc>
          <w:tcPr>
            <w:tcW w:w="1083"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项目支出</w:t>
            </w:r>
          </w:p>
        </w:tc>
        <w:tc>
          <w:tcPr>
            <w:tcW w:w="973"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上缴上级支出</w:t>
            </w:r>
          </w:p>
        </w:tc>
        <w:tc>
          <w:tcPr>
            <w:tcW w:w="1933"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660" w:hRule="atLeast"/>
        </w:trPr>
        <w:tc>
          <w:tcPr>
            <w:tcW w:w="763" w:type="dxa"/>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597"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单位代码</w:t>
            </w:r>
          </w:p>
        </w:tc>
        <w:tc>
          <w:tcPr>
            <w:tcW w:w="1370" w:type="dxa"/>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965"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pPr>
          </w:p>
        </w:tc>
        <w:tc>
          <w:tcPr>
            <w:tcW w:w="1256"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pPr>
          </w:p>
        </w:tc>
        <w:tc>
          <w:tcPr>
            <w:tcW w:w="1083"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73"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pPr>
          </w:p>
        </w:tc>
        <w:tc>
          <w:tcPr>
            <w:tcW w:w="1933"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75" w:hRule="atLeast"/>
        </w:trPr>
        <w:tc>
          <w:tcPr>
            <w:tcW w:w="316" w:type="dxa"/>
            <w:tcBorders>
              <w:top w:val="single" w:color="C2C3C4" w:sz="4" w:space="0"/>
              <w:left w:val="single" w:color="C2C3C4" w:sz="4" w:space="0"/>
              <w:bottom w:val="nil"/>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23" w:type="dxa"/>
            <w:tcBorders>
              <w:top w:val="single" w:color="C2C3C4" w:sz="4" w:space="0"/>
              <w:left w:val="single" w:color="C2C3C4" w:sz="4" w:space="0"/>
              <w:bottom w:val="nil"/>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款</w:t>
            </w:r>
          </w:p>
        </w:tc>
        <w:tc>
          <w:tcPr>
            <w:tcW w:w="224" w:type="dxa"/>
            <w:tcBorders>
              <w:top w:val="single" w:color="C2C3C4" w:sz="4" w:space="0"/>
              <w:left w:val="single" w:color="C2C3C4" w:sz="4" w:space="0"/>
              <w:bottom w:val="nil"/>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项</w:t>
            </w:r>
          </w:p>
        </w:tc>
        <w:tc>
          <w:tcPr>
            <w:tcW w:w="597" w:type="dxa"/>
            <w:vMerge w:val="continue"/>
            <w:tcBorders>
              <w:top w:val="single" w:color="C2C3C4" w:sz="4" w:space="0"/>
              <w:left w:val="single" w:color="C2C3C4" w:sz="4" w:space="0"/>
              <w:bottom w:val="nil"/>
              <w:right w:val="single" w:color="C2C3C4" w:sz="4" w:space="0"/>
            </w:tcBorders>
            <w:shd w:val="clear" w:color="EFF2F7" w:fill="EFF2F7"/>
            <w:noWrap/>
            <w:tcMar>
              <w:top w:w="15" w:type="dxa"/>
              <w:left w:w="15" w:type="dxa"/>
              <w:right w:w="15" w:type="dxa"/>
            </w:tcMar>
            <w:vAlign w:val="center"/>
          </w:tcPr>
          <w:p>
            <w:pPr>
              <w:jc w:val="center"/>
            </w:pPr>
          </w:p>
        </w:tc>
        <w:tc>
          <w:tcPr>
            <w:tcW w:w="1370" w:type="dxa"/>
            <w:vMerge w:val="continue"/>
            <w:tcBorders>
              <w:top w:val="single" w:color="C2C3C4" w:sz="4" w:space="0"/>
              <w:left w:val="single" w:color="C2C3C4" w:sz="4" w:space="0"/>
              <w:bottom w:val="nil"/>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65"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56"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pPr>
          </w:p>
        </w:tc>
        <w:tc>
          <w:tcPr>
            <w:tcW w:w="1083"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73"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pPr>
          </w:p>
        </w:tc>
        <w:tc>
          <w:tcPr>
            <w:tcW w:w="1933" w:type="dxa"/>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60" w:hRule="atLeast"/>
        </w:trPr>
        <w:tc>
          <w:tcPr>
            <w:tcW w:w="3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pPr>
          </w:p>
        </w:tc>
        <w:tc>
          <w:tcPr>
            <w:tcW w:w="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pPr>
          </w:p>
        </w:tc>
        <w:tc>
          <w:tcPr>
            <w:tcW w:w="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pPr>
          </w:p>
        </w:tc>
        <w:tc>
          <w:tcPr>
            <w:tcW w:w="13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2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646.70</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60" w:hRule="atLeast"/>
        </w:trPr>
        <w:tc>
          <w:tcPr>
            <w:tcW w:w="31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pPr>
          </w:p>
        </w:tc>
        <w:tc>
          <w:tcPr>
            <w:tcW w:w="224"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pPr>
          </w:p>
        </w:tc>
        <w:tc>
          <w:tcPr>
            <w:tcW w:w="597"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pPr>
          </w:p>
        </w:tc>
        <w:tc>
          <w:tcPr>
            <w:tcW w:w="137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乐山市奥林匹克学校</w:t>
            </w:r>
          </w:p>
        </w:tc>
        <w:tc>
          <w:tcPr>
            <w:tcW w:w="965"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256"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646.70</w:t>
            </w:r>
          </w:p>
        </w:tc>
        <w:tc>
          <w:tcPr>
            <w:tcW w:w="108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97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right"/>
            </w:pP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77" w:hRule="atLeast"/>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02</w:t>
            </w:r>
          </w:p>
        </w:tc>
        <w:tc>
          <w:tcPr>
            <w:tcW w:w="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03</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323303</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初中教育</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507.35</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469.55</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95" w:hRule="atLeast"/>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05</w:t>
            </w:r>
          </w:p>
        </w:tc>
        <w:tc>
          <w:tcPr>
            <w:tcW w:w="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05</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323303</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64.48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95" w:hRule="atLeast"/>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05</w:t>
            </w:r>
          </w:p>
        </w:tc>
        <w:tc>
          <w:tcPr>
            <w:tcW w:w="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06</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323303</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机关事业单位职业年金缴费支出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32.24</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32.24</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0" w:hRule="atLeast"/>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99</w:t>
            </w:r>
          </w:p>
        </w:tc>
        <w:tc>
          <w:tcPr>
            <w:tcW w:w="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99</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323303</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其他社会保障和就业支出</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8.28</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70" w:hRule="atLeast"/>
        </w:trPr>
        <w:tc>
          <w:tcPr>
            <w:tcW w:w="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11</w:t>
            </w:r>
          </w:p>
        </w:tc>
        <w:tc>
          <w:tcPr>
            <w:tcW w:w="2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02</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323303</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事业单位医疗</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20.60</w:t>
            </w:r>
          </w:p>
        </w:tc>
        <w:tc>
          <w:tcPr>
            <w:tcW w:w="10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pPr>
          </w:p>
        </w:tc>
        <w:tc>
          <w:tcPr>
            <w:tcW w:w="19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4"/>
        <w:widowControl/>
        <w:numPr>
          <w:ilvl w:val="0"/>
          <w:numId w:val="0"/>
        </w:numPr>
        <w:spacing w:before="0" w:beforeAutospacing="0" w:after="0" w:afterAutospacing="0" w:line="600" w:lineRule="exact"/>
        <w:ind w:right="0" w:rightChars="0"/>
        <w:jc w:val="both"/>
        <w:outlineLvl w:val="1"/>
        <w:rPr>
          <w:rFonts w:hint="eastAsia" w:ascii="Times New Roman" w:hAnsi="Times New Roman" w:eastAsia="仿宋_GB2312" w:cs="仿宋_GB2312"/>
          <w:color w:val="333333"/>
          <w:sz w:val="32"/>
          <w:szCs w:val="32"/>
        </w:rPr>
      </w:pPr>
    </w:p>
    <w:p>
      <w:pPr>
        <w:pStyle w:val="4"/>
        <w:widowControl/>
        <w:numPr>
          <w:ilvl w:val="0"/>
          <w:numId w:val="0"/>
        </w:numPr>
        <w:spacing w:before="0" w:beforeAutospacing="0" w:after="0" w:afterAutospacing="0" w:line="600" w:lineRule="exact"/>
        <w:ind w:right="0" w:rightChars="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财政拨</w:t>
      </w:r>
    </w:p>
    <w:tbl>
      <w:tblPr>
        <w:tblStyle w:val="5"/>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9"/>
        <w:gridCol w:w="644"/>
        <w:gridCol w:w="1524"/>
        <w:gridCol w:w="2111"/>
        <w:gridCol w:w="1189"/>
        <w:gridCol w:w="1264"/>
        <w:gridCol w:w="1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9120" w:type="dxa"/>
            <w:gridSpan w:val="7"/>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ascii="黑体" w:hAnsi="宋体" w:eastAsia="黑体" w:cs="黑体"/>
                <w:b/>
                <w:bCs/>
                <w:i w:val="0"/>
                <w:iCs w:val="0"/>
                <w:color w:val="000000"/>
                <w:sz w:val="32"/>
                <w:szCs w:val="32"/>
                <w:u w:val="none"/>
              </w:rPr>
            </w:pPr>
            <w:r>
              <w:rPr>
                <w:rFonts w:hint="eastAsia" w:ascii="黑体" w:hAnsi="宋体" w:eastAsia="黑体" w:cs="黑体"/>
                <w:b/>
                <w:bCs/>
                <w:i w:val="0"/>
                <w:iCs w:val="0"/>
                <w:color w:val="000000"/>
                <w:kern w:val="0"/>
                <w:sz w:val="32"/>
                <w:szCs w:val="32"/>
                <w:u w:val="none"/>
                <w:lang w:val="en-US" w:eastAsia="zh-CN" w:bidi="ar"/>
              </w:rPr>
              <w:t>财政拨款收支预算总表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683" w:type="dxa"/>
            <w:gridSpan w:val="2"/>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单位：乐山市奥林匹克学校</w:t>
            </w:r>
          </w:p>
        </w:tc>
        <w:tc>
          <w:tcPr>
            <w:tcW w:w="152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11"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89"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6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349" w:type="dxa"/>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2"/>
                <w:szCs w:val="22"/>
                <w:u w:val="none"/>
              </w:rPr>
            </w:pPr>
            <w:r>
              <w:rPr>
                <w:rFonts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1683" w:type="dxa"/>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7437" w:type="dxa"/>
            <w:gridSpan w:val="5"/>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644"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524"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2111"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189"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264"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349"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一、本年收入</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52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一、本年支出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一般公共预算拨款收入</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一般公共服务支出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政府性基金预算拨款收入</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外交支出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国有资本经营预算拨款收入</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国防支出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一、上年结转</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公共安全支出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一般公共预算拨款收入</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教育支出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507.35</w:t>
            </w: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507.35</w:t>
            </w: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政府性基金预算拨款收入</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科学技术支出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4"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国有资本经营预算拨款收入</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文化旅游体育与传媒支出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社会保障和就业支出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105.00</w:t>
            </w: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社会保险基金支出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卫生健康支出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节能环保支出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城乡社区支出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农林水支出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交通运输支出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资源勘探工业信息等支出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商业服务业等支出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金融支出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援助其他地区支出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自然资源海洋气象等支出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住房保障支出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51.55</w:t>
            </w: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51.55</w:t>
            </w: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粮油物资储备支出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国有资本经营预算支出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灾害防治及应急管理支出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债务还本支出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债务付息支出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债务发行费用支出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39"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w:t>
            </w:r>
          </w:p>
        </w:tc>
        <w:tc>
          <w:tcPr>
            <w:tcW w:w="64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52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抗疫特别国债安排的支出</w:t>
            </w:r>
          </w:p>
        </w:tc>
        <w:tc>
          <w:tcPr>
            <w:tcW w:w="211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18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26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1349"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4"/>
        <w:widowControl/>
        <w:numPr>
          <w:ilvl w:val="0"/>
          <w:numId w:val="0"/>
        </w:numPr>
        <w:spacing w:before="0" w:beforeAutospacing="0" w:after="0" w:afterAutospacing="0" w:line="600" w:lineRule="exact"/>
        <w:ind w:right="0" w:rightChars="0"/>
        <w:jc w:val="both"/>
        <w:outlineLvl w:val="1"/>
        <w:rPr>
          <w:rFonts w:hint="eastAsia" w:ascii="Times New Roman" w:hAnsi="Times New Roman" w:eastAsia="仿宋_GB2312" w:cs="仿宋_GB2312"/>
          <w:color w:val="333333"/>
          <w:sz w:val="32"/>
          <w:szCs w:val="32"/>
        </w:rPr>
      </w:pP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五、财政拨款支出预算表（</w:t>
      </w:r>
      <w:r>
        <w:rPr>
          <w:rFonts w:hint="eastAsia" w:ascii="Times New Roman" w:hAnsi="Times New Roman" w:eastAsia="仿宋_GB2312" w:cs="仿宋_GB2312"/>
          <w:color w:val="333333"/>
          <w:sz w:val="32"/>
          <w:szCs w:val="32"/>
          <w:lang w:eastAsia="zh-CN"/>
        </w:rPr>
        <w:t>单位</w:t>
      </w:r>
      <w:r>
        <w:rPr>
          <w:rFonts w:hint="eastAsia" w:ascii="Times New Roman" w:hAnsi="Times New Roman" w:eastAsia="仿宋_GB2312" w:cs="仿宋_GB2312"/>
          <w:color w:val="333333"/>
          <w:sz w:val="32"/>
          <w:szCs w:val="32"/>
        </w:rPr>
        <w:t>经济分类科目）（公开</w:t>
      </w:r>
    </w:p>
    <w:tbl>
      <w:tblPr>
        <w:tblStyle w:val="5"/>
        <w:tblW w:w="100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4"/>
        <w:gridCol w:w="413"/>
        <w:gridCol w:w="531"/>
        <w:gridCol w:w="1375"/>
        <w:gridCol w:w="682"/>
        <w:gridCol w:w="643"/>
        <w:gridCol w:w="1860"/>
        <w:gridCol w:w="894"/>
        <w:gridCol w:w="860"/>
        <w:gridCol w:w="612"/>
        <w:gridCol w:w="850"/>
        <w:gridCol w:w="8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10080" w:type="dxa"/>
            <w:gridSpan w:val="12"/>
            <w:tcBorders>
              <w:top w:val="single" w:color="FFFFFF" w:sz="4" w:space="0"/>
              <w:left w:val="single" w:color="FFFFFF" w:sz="4" w:space="0"/>
              <w:bottom w:val="single" w:color="FFFFFF" w:sz="4" w:space="0"/>
              <w:right w:val="single" w:color="FFFFFF"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财政拨款支出预算表（部门经济分类科目）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803" w:type="dxa"/>
            <w:gridSpan w:val="4"/>
            <w:tcBorders>
              <w:top w:val="single" w:color="FFFFFF" w:sz="4" w:space="0"/>
              <w:left w:val="single" w:color="FFFFFF" w:sz="4" w:space="0"/>
              <w:bottom w:val="nil"/>
              <w:right w:val="single" w:color="FFFFFF"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单位：乐山市奥林匹克学校</w:t>
            </w:r>
          </w:p>
        </w:tc>
        <w:tc>
          <w:tcPr>
            <w:tcW w:w="68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3" w:type="dxa"/>
            <w:tcBorders>
              <w:top w:val="single" w:color="FFFFFF" w:sz="4" w:space="0"/>
              <w:left w:val="single" w:color="FFFFFF" w:sz="4" w:space="0"/>
              <w:bottom w:val="nil"/>
              <w:right w:val="single" w:color="FFFFFF"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860" w:type="dxa"/>
            <w:tcBorders>
              <w:top w:val="single" w:color="FFFFFF" w:sz="4" w:space="0"/>
              <w:left w:val="single" w:color="FFFFFF" w:sz="4" w:space="0"/>
              <w:bottom w:val="nil"/>
              <w:right w:val="single" w:color="FFFFFF"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94"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6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12"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50"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876" w:type="dxa"/>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2803" w:type="dxa"/>
            <w:gridSpan w:val="4"/>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682" w:type="dxa"/>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6595" w:type="dxa"/>
            <w:gridSpan w:val="7"/>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省级当年财政拨款安排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97" w:type="dxa"/>
            <w:gridSpan w:val="2"/>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531" w:type="dxa"/>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单位代码</w:t>
            </w:r>
          </w:p>
        </w:tc>
        <w:tc>
          <w:tcPr>
            <w:tcW w:w="1375" w:type="dxa"/>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682"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643" w:type="dxa"/>
            <w:vMerge w:val="restart"/>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3614" w:type="dxa"/>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一般公共预算拨款</w:t>
            </w:r>
          </w:p>
        </w:tc>
        <w:tc>
          <w:tcPr>
            <w:tcW w:w="2338" w:type="dxa"/>
            <w:gridSpan w:val="3"/>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84"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413"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531"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375"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682"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643" w:type="dxa"/>
            <w:vMerge w:val="continue"/>
            <w:tcBorders>
              <w:top w:val="single" w:color="C0C0C0" w:sz="4" w:space="0"/>
              <w:left w:val="single" w:color="C0C0C0" w:sz="4" w:space="0"/>
              <w:bottom w:val="single" w:color="C0C0C0" w:sz="4" w:space="0"/>
              <w:right w:val="single" w:color="C0C0C0" w:sz="4" w:space="0"/>
            </w:tcBorders>
            <w:shd w:val="clear" w:color="EFF2F7" w:fill="EFF2F7"/>
            <w:noWrap/>
            <w:vAlign w:val="center"/>
          </w:tcPr>
          <w:p>
            <w:pPr>
              <w:jc w:val="center"/>
              <w:rPr>
                <w:rFonts w:hint="eastAsia" w:ascii="宋体" w:hAnsi="宋体" w:eastAsia="宋体" w:cs="宋体"/>
                <w:b/>
                <w:bCs/>
                <w:i w:val="0"/>
                <w:iCs w:val="0"/>
                <w:color w:val="000000"/>
                <w:sz w:val="22"/>
                <w:szCs w:val="22"/>
                <w:u w:val="none"/>
              </w:rPr>
            </w:pPr>
          </w:p>
        </w:tc>
        <w:tc>
          <w:tcPr>
            <w:tcW w:w="1860"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94"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860"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c>
          <w:tcPr>
            <w:tcW w:w="612"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850"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876" w:type="dxa"/>
            <w:tcBorders>
              <w:top w:val="single" w:color="C0C0C0" w:sz="4" w:space="0"/>
              <w:left w:val="single" w:color="C0C0C0" w:sz="4" w:space="0"/>
              <w:bottom w:val="single" w:color="C0C0C0" w:sz="4" w:space="0"/>
              <w:right w:val="single" w:color="C0C0C0" w:sz="4" w:space="0"/>
            </w:tcBorders>
            <w:shd w:val="clear" w:color="EFF2F7" w:fill="EFF2F7"/>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41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375" w:type="dxa"/>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646.70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乐山市奥林匹克学校</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646.70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617.97</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617.97</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617.97</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580.17</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201.67</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201.67</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201.67</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201.67</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02</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02</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地方津贴补贴</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07</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绩效工资</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07</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基础性绩效工资</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07</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奖励性绩效工资</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43.27</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43.27</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43.27</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43.27</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08</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64.48</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64.48</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64.48</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64.48</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09</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职业年金缴费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32.24</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32.24</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32.24</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32.24</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10</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12</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12</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12</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失业保险</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12</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残疾人就业保障金</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13</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51.55</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51.55</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51.55</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51.55</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115.02</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115.02</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115.02</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77.22</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事业平时绩效工资</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77.22</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77.22</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77.22</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77.22</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37.80</w:t>
            </w: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日常办公用品</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书报杂志</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05</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水费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05</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办公卫生用水</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05</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饮用水</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05</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其他水费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06</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电费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06</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办公用电费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07</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邮电费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07</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网络通讯费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差旅城市间交通费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差旅住宿费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差旅伙食补助费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差旅公杂费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13</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维修（护）费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13</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办公设备维修（护）费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13</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零星维修（护）费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26</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劳务费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26</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其他劳务费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28</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28</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工会经费（比例）</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28</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工会经费（补充）</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29</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福利费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8.48</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公务用车运行维护费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燃料费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维修费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过路过桥费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31</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保险费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其他商品和服务支出</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离退休人员活动费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484"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413"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531"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323303</w:t>
            </w:r>
          </w:p>
        </w:tc>
        <w:tc>
          <w:tcPr>
            <w:tcW w:w="1375" w:type="dxa"/>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午餐补助费</w:t>
            </w:r>
          </w:p>
        </w:tc>
        <w:tc>
          <w:tcPr>
            <w:tcW w:w="68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c>
          <w:tcPr>
            <w:tcW w:w="643"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c>
          <w:tcPr>
            <w:tcW w:w="1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c>
          <w:tcPr>
            <w:tcW w:w="894"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21.12</w:t>
            </w:r>
          </w:p>
        </w:tc>
        <w:tc>
          <w:tcPr>
            <w:tcW w:w="86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612"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50"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876" w:type="dxa"/>
            <w:tcBorders>
              <w:top w:val="single" w:color="C0C0C0" w:sz="4" w:space="0"/>
              <w:left w:val="single" w:color="C0C0C0" w:sz="4" w:space="0"/>
              <w:bottom w:val="single" w:color="C0C0C0" w:sz="4" w:space="0"/>
              <w:right w:val="single" w:color="C0C0C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bl>
    <w:p>
      <w:pPr>
        <w:pStyle w:val="4"/>
        <w:widowControl/>
        <w:spacing w:before="0" w:beforeAutospacing="0" w:after="0" w:afterAutospacing="0" w:line="600" w:lineRule="exact"/>
        <w:ind w:firstLine="1280" w:firstLineChars="4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line="600" w:lineRule="exact"/>
        <w:jc w:val="both"/>
        <w:rPr>
          <w:rFonts w:hint="eastAsia" w:ascii="Times New Roman" w:hAnsi="Times New Roman" w:eastAsia="仿宋_GB2312" w:cs="仿宋_GB2312"/>
          <w:color w:val="333333"/>
          <w:sz w:val="32"/>
          <w:szCs w:val="32"/>
        </w:rPr>
      </w:pPr>
    </w:p>
    <w:p>
      <w:pPr>
        <w:pStyle w:val="4"/>
        <w:widowControl/>
        <w:numPr>
          <w:ilvl w:val="0"/>
          <w:numId w:val="2"/>
        </w:numPr>
        <w:spacing w:before="0" w:beforeAutospacing="0" w:after="0" w:afterAutospacing="0" w:line="600" w:lineRule="exact"/>
        <w:ind w:left="0" w:leftChars="0"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一般公共预算支出预算表（公开表3）</w:t>
      </w:r>
    </w:p>
    <w:tbl>
      <w:tblPr>
        <w:tblStyle w:val="5"/>
        <w:tblW w:w="10155" w:type="dxa"/>
        <w:tblInd w:w="0" w:type="dxa"/>
        <w:shd w:val="clear" w:color="auto" w:fill="auto"/>
        <w:tblLayout w:type="fixed"/>
        <w:tblCellMar>
          <w:top w:w="0" w:type="dxa"/>
          <w:left w:w="0" w:type="dxa"/>
          <w:bottom w:w="0" w:type="dxa"/>
          <w:right w:w="0" w:type="dxa"/>
        </w:tblCellMar>
      </w:tblPr>
      <w:tblGrid>
        <w:gridCol w:w="360"/>
        <w:gridCol w:w="251"/>
        <w:gridCol w:w="251"/>
        <w:gridCol w:w="360"/>
        <w:gridCol w:w="2063"/>
        <w:gridCol w:w="1293"/>
        <w:gridCol w:w="1250"/>
        <w:gridCol w:w="4327"/>
      </w:tblGrid>
      <w:tr>
        <w:tblPrEx>
          <w:shd w:val="clear" w:color="auto" w:fill="auto"/>
          <w:tblCellMar>
            <w:top w:w="0" w:type="dxa"/>
            <w:left w:w="0" w:type="dxa"/>
            <w:bottom w:w="0" w:type="dxa"/>
            <w:right w:w="0" w:type="dxa"/>
          </w:tblCellMar>
        </w:tblPrEx>
        <w:trPr>
          <w:trHeight w:val="653" w:hRule="atLeast"/>
        </w:trPr>
        <w:tc>
          <w:tcPr>
            <w:tcW w:w="10155" w:type="dxa"/>
            <w:gridSpan w:val="8"/>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一般公共预算支出预算表</w:t>
            </w:r>
          </w:p>
        </w:tc>
      </w:tr>
      <w:tr>
        <w:tblPrEx>
          <w:tblCellMar>
            <w:top w:w="0" w:type="dxa"/>
            <w:left w:w="0" w:type="dxa"/>
            <w:bottom w:w="0" w:type="dxa"/>
            <w:right w:w="0" w:type="dxa"/>
          </w:tblCellMar>
        </w:tblPrEx>
        <w:trPr>
          <w:trHeight w:val="427" w:hRule="atLeast"/>
        </w:trPr>
        <w:tc>
          <w:tcPr>
            <w:tcW w:w="3285" w:type="dxa"/>
            <w:gridSpan w:val="5"/>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单位：乐山市奥林匹克学校</w:t>
            </w:r>
          </w:p>
        </w:tc>
        <w:tc>
          <w:tcPr>
            <w:tcW w:w="1293"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tc>
        <w:tc>
          <w:tcPr>
            <w:tcW w:w="125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tc>
        <w:tc>
          <w:tcPr>
            <w:tcW w:w="4327"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522" w:hRule="atLeast"/>
        </w:trPr>
        <w:tc>
          <w:tcPr>
            <w:tcW w:w="3285" w:type="dxa"/>
            <w:gridSpan w:val="5"/>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1293"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合计</w:t>
            </w:r>
          </w:p>
        </w:tc>
        <w:tc>
          <w:tcPr>
            <w:tcW w:w="1250"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当年财政拨款安排</w:t>
            </w:r>
          </w:p>
        </w:tc>
        <w:tc>
          <w:tcPr>
            <w:tcW w:w="4327"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上年结转安排</w:t>
            </w:r>
          </w:p>
        </w:tc>
      </w:tr>
      <w:tr>
        <w:tblPrEx>
          <w:tblCellMar>
            <w:top w:w="0" w:type="dxa"/>
            <w:left w:w="0" w:type="dxa"/>
            <w:bottom w:w="0" w:type="dxa"/>
            <w:right w:w="0" w:type="dxa"/>
          </w:tblCellMar>
        </w:tblPrEx>
        <w:trPr>
          <w:trHeight w:val="641" w:hRule="atLeast"/>
        </w:trPr>
        <w:tc>
          <w:tcPr>
            <w:tcW w:w="862" w:type="dxa"/>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360"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单位代码</w:t>
            </w:r>
          </w:p>
        </w:tc>
        <w:tc>
          <w:tcPr>
            <w:tcW w:w="2063" w:type="dxa"/>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293"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pPr>
          </w:p>
        </w:tc>
        <w:tc>
          <w:tcPr>
            <w:tcW w:w="4327"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16" w:hRule="atLeast"/>
        </w:trPr>
        <w:tc>
          <w:tcPr>
            <w:tcW w:w="360"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51"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款</w:t>
            </w:r>
          </w:p>
        </w:tc>
        <w:tc>
          <w:tcPr>
            <w:tcW w:w="251" w:type="dxa"/>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项</w:t>
            </w:r>
          </w:p>
        </w:tc>
        <w:tc>
          <w:tcPr>
            <w:tcW w:w="36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pPr>
          </w:p>
        </w:tc>
        <w:tc>
          <w:tcPr>
            <w:tcW w:w="2063"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93"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50"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pPr>
          </w:p>
        </w:tc>
        <w:tc>
          <w:tcPr>
            <w:tcW w:w="4327" w:type="dxa"/>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59"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pPr>
          </w:p>
        </w:tc>
        <w:tc>
          <w:tcPr>
            <w:tcW w:w="2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pPr>
          </w:p>
        </w:tc>
        <w:tc>
          <w:tcPr>
            <w:tcW w:w="3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pPr>
          </w:p>
        </w:tc>
        <w:tc>
          <w:tcPr>
            <w:tcW w:w="20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684.50</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59" w:hRule="atLeast"/>
        </w:trPr>
        <w:tc>
          <w:tcPr>
            <w:tcW w:w="3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pPr>
          </w:p>
        </w:tc>
        <w:tc>
          <w:tcPr>
            <w:tcW w:w="251"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pPr>
          </w:p>
        </w:tc>
        <w:tc>
          <w:tcPr>
            <w:tcW w:w="36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pPr>
          </w:p>
        </w:tc>
        <w:tc>
          <w:tcPr>
            <w:tcW w:w="206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乐山市奥林匹克学校</w:t>
            </w:r>
          </w:p>
        </w:tc>
        <w:tc>
          <w:tcPr>
            <w:tcW w:w="1293"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684.50</w:t>
            </w:r>
          </w:p>
        </w:tc>
        <w:tc>
          <w:tcPr>
            <w:tcW w:w="1250" w:type="dxa"/>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684.50</w:t>
            </w:r>
          </w:p>
        </w:tc>
        <w:tc>
          <w:tcPr>
            <w:tcW w:w="43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59"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02</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03</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323</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初中教育</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507.35</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507.35</w:t>
            </w:r>
          </w:p>
        </w:tc>
        <w:tc>
          <w:tcPr>
            <w:tcW w:w="4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05</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05</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323</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机关事业单位基本养老保险缴费支出</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64.48</w:t>
            </w:r>
          </w:p>
        </w:tc>
        <w:tc>
          <w:tcPr>
            <w:tcW w:w="4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4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05</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06</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323</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机关事业单位职业年金缴费支出</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32.24</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32.24</w:t>
            </w:r>
          </w:p>
        </w:tc>
        <w:tc>
          <w:tcPr>
            <w:tcW w:w="4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41"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99</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99</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323</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其他社会保障和就业支出</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8.28</w:t>
            </w:r>
          </w:p>
        </w:tc>
        <w:tc>
          <w:tcPr>
            <w:tcW w:w="4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78" w:hRule="atLeast"/>
        </w:trPr>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11</w:t>
            </w:r>
          </w:p>
        </w:tc>
        <w:tc>
          <w:tcPr>
            <w:tcW w:w="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02</w:t>
            </w:r>
          </w:p>
        </w:tc>
        <w:tc>
          <w:tcPr>
            <w:tcW w:w="3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323</w:t>
            </w:r>
          </w:p>
        </w:tc>
        <w:tc>
          <w:tcPr>
            <w:tcW w:w="2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事业单位医疗</w:t>
            </w:r>
          </w:p>
        </w:tc>
        <w:tc>
          <w:tcPr>
            <w:tcW w:w="1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1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20.60</w:t>
            </w:r>
          </w:p>
        </w:tc>
        <w:tc>
          <w:tcPr>
            <w:tcW w:w="43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4"/>
        <w:widowControl/>
        <w:numPr>
          <w:ilvl w:val="0"/>
          <w:numId w:val="0"/>
        </w:numPr>
        <w:spacing w:before="0" w:beforeAutospacing="0" w:after="0" w:afterAutospacing="0" w:line="600" w:lineRule="exact"/>
        <w:ind w:leftChars="200" w:right="0" w:rightChars="0"/>
        <w:jc w:val="both"/>
        <w:outlineLvl w:val="1"/>
        <w:rPr>
          <w:rFonts w:hint="eastAsia" w:ascii="Times New Roman" w:hAnsi="Times New Roman" w:eastAsia="仿宋_GB2312" w:cs="仿宋_GB2312"/>
          <w:color w:val="333333"/>
          <w:sz w:val="32"/>
          <w:szCs w:val="32"/>
        </w:rPr>
      </w:pPr>
    </w:p>
    <w:p>
      <w:pPr>
        <w:pStyle w:val="4"/>
        <w:widowControl/>
        <w:numPr>
          <w:ilvl w:val="0"/>
          <w:numId w:val="2"/>
        </w:numPr>
        <w:spacing w:before="0" w:beforeAutospacing="0" w:after="0" w:afterAutospacing="0" w:line="600" w:lineRule="exact"/>
        <w:ind w:left="0" w:leftChars="0"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一般公共预算基本支出预算表（公开表3-1）</w:t>
      </w:r>
    </w:p>
    <w:tbl>
      <w:tblPr>
        <w:tblStyle w:val="5"/>
        <w:tblW w:w="8336" w:type="dxa"/>
        <w:tblInd w:w="0" w:type="dxa"/>
        <w:shd w:val="clear" w:color="auto" w:fill="auto"/>
        <w:tblLayout w:type="fixed"/>
        <w:tblCellMar>
          <w:top w:w="0" w:type="dxa"/>
          <w:left w:w="0" w:type="dxa"/>
          <w:bottom w:w="0" w:type="dxa"/>
          <w:right w:w="0" w:type="dxa"/>
        </w:tblCellMar>
      </w:tblPr>
      <w:tblGrid>
        <w:gridCol w:w="411"/>
        <w:gridCol w:w="284"/>
        <w:gridCol w:w="769"/>
        <w:gridCol w:w="1446"/>
        <w:gridCol w:w="1018"/>
        <w:gridCol w:w="1700"/>
        <w:gridCol w:w="2708"/>
      </w:tblGrid>
      <w:tr>
        <w:tblPrEx>
          <w:shd w:val="clear" w:color="auto" w:fill="auto"/>
          <w:tblCellMar>
            <w:top w:w="0" w:type="dxa"/>
            <w:left w:w="0" w:type="dxa"/>
            <w:bottom w:w="0" w:type="dxa"/>
            <w:right w:w="0" w:type="dxa"/>
          </w:tblCellMar>
        </w:tblPrEx>
        <w:trPr>
          <w:trHeight w:val="630" w:hRule="atLeast"/>
        </w:trPr>
        <w:tc>
          <w:tcPr>
            <w:tcW w:w="8336" w:type="dxa"/>
            <w:gridSpan w:val="7"/>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一般公共预算基本支出预算表</w:t>
            </w:r>
          </w:p>
        </w:tc>
      </w:tr>
      <w:tr>
        <w:tblPrEx>
          <w:tblCellMar>
            <w:top w:w="0" w:type="dxa"/>
            <w:left w:w="0" w:type="dxa"/>
            <w:bottom w:w="0" w:type="dxa"/>
            <w:right w:w="0" w:type="dxa"/>
          </w:tblCellMar>
        </w:tblPrEx>
        <w:trPr>
          <w:trHeight w:val="407" w:hRule="atLeast"/>
        </w:trPr>
        <w:tc>
          <w:tcPr>
            <w:tcW w:w="2910" w:type="dxa"/>
            <w:gridSpan w:val="4"/>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单位：乐山市奥林匹克学校</w:t>
            </w:r>
          </w:p>
        </w:tc>
        <w:tc>
          <w:tcPr>
            <w:tcW w:w="1018"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tc>
        <w:tc>
          <w:tcPr>
            <w:tcW w:w="1700" w:type="dxa"/>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tc>
        <w:tc>
          <w:tcPr>
            <w:tcW w:w="2708"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93" w:hRule="atLeast"/>
        </w:trPr>
        <w:tc>
          <w:tcPr>
            <w:tcW w:w="2910" w:type="dxa"/>
            <w:gridSpan w:val="4"/>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5426" w:type="dxa"/>
            <w:gridSpan w:val="3"/>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r>
      <w:tr>
        <w:tblPrEx>
          <w:tblCellMar>
            <w:top w:w="0" w:type="dxa"/>
            <w:left w:w="0" w:type="dxa"/>
            <w:bottom w:w="0" w:type="dxa"/>
            <w:right w:w="0" w:type="dxa"/>
          </w:tblCellMar>
        </w:tblPrEx>
        <w:trPr>
          <w:trHeight w:val="630" w:hRule="atLeast"/>
        </w:trPr>
        <w:tc>
          <w:tcPr>
            <w:tcW w:w="695" w:type="dxa"/>
            <w:gridSpan w:val="2"/>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769" w:type="dxa"/>
            <w:vMerge w:val="restart"/>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单位代码</w:t>
            </w:r>
          </w:p>
        </w:tc>
        <w:tc>
          <w:tcPr>
            <w:tcW w:w="1446" w:type="dxa"/>
            <w:vMerge w:val="restart"/>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单位名称（科目）</w:t>
            </w:r>
          </w:p>
        </w:tc>
        <w:tc>
          <w:tcPr>
            <w:tcW w:w="1018" w:type="dxa"/>
            <w:vMerge w:val="restart"/>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700" w:type="dxa"/>
            <w:vMerge w:val="restart"/>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bCs/>
                <w:i w:val="0"/>
                <w:iCs w:val="0"/>
                <w:color w:val="000000"/>
                <w:kern w:val="0"/>
                <w:sz w:val="22"/>
                <w:szCs w:val="22"/>
                <w:u w:val="none"/>
                <w:lang w:val="en-US" w:eastAsia="zh-CN" w:bidi="ar"/>
              </w:rPr>
              <w:t>人员经费</w:t>
            </w:r>
          </w:p>
        </w:tc>
        <w:tc>
          <w:tcPr>
            <w:tcW w:w="2708" w:type="dxa"/>
            <w:vMerge w:val="restart"/>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493" w:hRule="atLeast"/>
        </w:trPr>
        <w:tc>
          <w:tcPr>
            <w:tcW w:w="411" w:type="dxa"/>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类</w:t>
            </w:r>
          </w:p>
        </w:tc>
        <w:tc>
          <w:tcPr>
            <w:tcW w:w="284" w:type="dxa"/>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款</w:t>
            </w:r>
          </w:p>
        </w:tc>
        <w:tc>
          <w:tcPr>
            <w:tcW w:w="769" w:type="dxa"/>
            <w:vMerge w:val="continue"/>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jc w:val="center"/>
            </w:pPr>
          </w:p>
        </w:tc>
        <w:tc>
          <w:tcPr>
            <w:tcW w:w="1446" w:type="dxa"/>
            <w:vMerge w:val="continue"/>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18" w:type="dxa"/>
            <w:vMerge w:val="continue"/>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700" w:type="dxa"/>
            <w:vMerge w:val="continue"/>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jc w:val="center"/>
            </w:pPr>
          </w:p>
        </w:tc>
        <w:tc>
          <w:tcPr>
            <w:tcW w:w="2708" w:type="dxa"/>
            <w:vMerge w:val="continue"/>
            <w:tcBorders>
              <w:top w:val="single" w:color="C0C0C0" w:sz="4" w:space="0"/>
              <w:left w:val="single" w:color="C0C0C0" w:sz="4" w:space="0"/>
              <w:bottom w:val="single" w:color="C0C0C0" w:sz="4" w:space="0"/>
              <w:right w:val="single" w:color="C0C0C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95" w:hRule="atLeast"/>
        </w:trPr>
        <w:tc>
          <w:tcPr>
            <w:tcW w:w="411" w:type="dxa"/>
            <w:tcBorders>
              <w:top w:val="single" w:color="C0C0C0" w:sz="8" w:space="0"/>
              <w:left w:val="single" w:color="C0C0C0" w:sz="8" w:space="0"/>
              <w:bottom w:val="single" w:color="C0C0C0" w:sz="8" w:space="0"/>
              <w:right w:val="single" w:color="C0C0C0" w:sz="8"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4"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69"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jc w:val="center"/>
            </w:pPr>
          </w:p>
        </w:tc>
        <w:tc>
          <w:tcPr>
            <w:tcW w:w="1446"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1018"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646.70</w:t>
            </w:r>
          </w:p>
        </w:tc>
        <w:tc>
          <w:tcPr>
            <w:tcW w:w="1700"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580.17</w:t>
            </w:r>
          </w:p>
        </w:tc>
        <w:tc>
          <w:tcPr>
            <w:tcW w:w="2708"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r>
      <w:tr>
        <w:tblPrEx>
          <w:tblCellMar>
            <w:top w:w="0" w:type="dxa"/>
            <w:left w:w="0" w:type="dxa"/>
            <w:bottom w:w="0" w:type="dxa"/>
            <w:right w:w="0" w:type="dxa"/>
          </w:tblCellMar>
        </w:tblPrEx>
        <w:trPr>
          <w:trHeight w:val="625"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323303</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乐山市奥林匹克学校</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646.70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580.17</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r>
      <w:tr>
        <w:tblPrEx>
          <w:tblCellMar>
            <w:top w:w="0" w:type="dxa"/>
            <w:left w:w="0" w:type="dxa"/>
            <w:bottom w:w="0" w:type="dxa"/>
            <w:right w:w="0" w:type="dxa"/>
          </w:tblCellMar>
        </w:tblPrEx>
        <w:trPr>
          <w:trHeight w:val="368"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工资福利支出</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580.17</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580.17</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68"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基本工资</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201.67</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201.67</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02</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30102</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津贴补贴</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5.86</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02</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3010201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地方津贴补贴</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5.86</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5.86</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07</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30107</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绩效工资</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118.27</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118.27</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25"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07</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3010701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基础性绩效工资</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75.00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75.00</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25"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07</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3010702</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奖励性绩效工资</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43.27</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43.27</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927"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08</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30108</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机关事业单位基本养老保险缴费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64.48</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64.48</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09</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30109</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职业年金缴费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32.24</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32.24</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50" w:hRule="atLeast"/>
        </w:trPr>
        <w:tc>
          <w:tcPr>
            <w:tcW w:w="411" w:type="dxa"/>
            <w:tcBorders>
              <w:top w:val="single" w:color="C0C0C0" w:sz="8" w:space="0"/>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10</w:t>
            </w:r>
          </w:p>
        </w:tc>
        <w:tc>
          <w:tcPr>
            <w:tcW w:w="769"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30110</w:t>
            </w:r>
          </w:p>
        </w:tc>
        <w:tc>
          <w:tcPr>
            <w:tcW w:w="1446"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职工基本医疗保险缴费</w:t>
            </w:r>
          </w:p>
        </w:tc>
        <w:tc>
          <w:tcPr>
            <w:tcW w:w="1018"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w:t>
            </w:r>
          </w:p>
        </w:tc>
        <w:tc>
          <w:tcPr>
            <w:tcW w:w="1700"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20.60</w:t>
            </w:r>
          </w:p>
        </w:tc>
        <w:tc>
          <w:tcPr>
            <w:tcW w:w="2708" w:type="dxa"/>
            <w:tcBorders>
              <w:top w:val="single" w:color="C0C0C0" w:sz="8" w:space="0"/>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625"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12</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30112</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其他社会保障缴费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8.28</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12</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3011201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工伤保险</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0.81</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0.81</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12</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3011202</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失业保险</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2.42</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5"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12</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3011203</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残疾人就业保障金</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5.06</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5.06</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13</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30113</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住房公积金</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51.55</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51.55</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5"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30199</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其他工资福利支出</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77.22</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77.22</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25"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301</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99</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3019913</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事业平时绩效工资</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77.22</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77.22</w:t>
            </w: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商品和服务支出</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66.53</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3020101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日常办公用品</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01</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3020102</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书报杂志</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05</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30205</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水费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05</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3020501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办公卫生用水</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05</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3020502</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饮用水</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05</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3020599</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其他水费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06</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30206</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电费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06</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3020601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办公用电费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07</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30207</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邮电费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07</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3020705</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网络通讯费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11</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w:t>
            </w:r>
          </w:p>
        </w:tc>
      </w:tr>
      <w:tr>
        <w:tblPrEx>
          <w:tblCellMar>
            <w:top w:w="0" w:type="dxa"/>
            <w:left w:w="0" w:type="dxa"/>
            <w:bottom w:w="0" w:type="dxa"/>
            <w:right w:w="0" w:type="dxa"/>
          </w:tblCellMar>
        </w:tblPrEx>
        <w:trPr>
          <w:trHeight w:val="625"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11</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3021101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差旅城市间交通费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11</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3021102</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差旅住宿费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r>
      <w:tr>
        <w:tblPrEx>
          <w:tblCellMar>
            <w:top w:w="0" w:type="dxa"/>
            <w:left w:w="0" w:type="dxa"/>
            <w:bottom w:w="0" w:type="dxa"/>
            <w:right w:w="0" w:type="dxa"/>
          </w:tblCellMar>
        </w:tblPrEx>
        <w:trPr>
          <w:trHeight w:val="625"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11</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3021103</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差旅伙食补助费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11</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3021104</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差旅公杂费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13</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30213</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维修（护）费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r>
      <w:tr>
        <w:tblPrEx>
          <w:tblCellMar>
            <w:top w:w="0" w:type="dxa"/>
            <w:left w:w="0" w:type="dxa"/>
            <w:bottom w:w="0" w:type="dxa"/>
            <w:right w:w="0" w:type="dxa"/>
          </w:tblCellMar>
        </w:tblPrEx>
        <w:trPr>
          <w:trHeight w:val="625"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13</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3021301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办公设备维修（护）费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0.50</w:t>
            </w:r>
          </w:p>
        </w:tc>
      </w:tr>
      <w:tr>
        <w:tblPrEx>
          <w:tblCellMar>
            <w:top w:w="0" w:type="dxa"/>
            <w:left w:w="0" w:type="dxa"/>
            <w:bottom w:w="0" w:type="dxa"/>
            <w:right w:w="0" w:type="dxa"/>
          </w:tblCellMar>
        </w:tblPrEx>
        <w:trPr>
          <w:trHeight w:val="625"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13</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3021312</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零星维修（护）费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26</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30226</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劳务费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26</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3022699</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其他劳务费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CellMar>
            <w:top w:w="0" w:type="dxa"/>
            <w:left w:w="0" w:type="dxa"/>
            <w:bottom w:w="0" w:type="dxa"/>
            <w:right w:w="0" w:type="dxa"/>
          </w:tblCellMar>
        </w:tblPrEx>
        <w:trPr>
          <w:trHeight w:val="330"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28</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30228</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15.25</w:t>
            </w:r>
          </w:p>
        </w:tc>
      </w:tr>
      <w:tr>
        <w:tblPrEx>
          <w:tblCellMar>
            <w:top w:w="0" w:type="dxa"/>
            <w:left w:w="0" w:type="dxa"/>
            <w:bottom w:w="0" w:type="dxa"/>
            <w:right w:w="0" w:type="dxa"/>
          </w:tblCellMar>
        </w:tblPrEx>
        <w:trPr>
          <w:trHeight w:val="644" w:hRule="atLeast"/>
        </w:trPr>
        <w:tc>
          <w:tcPr>
            <w:tcW w:w="411" w:type="dxa"/>
            <w:tcBorders>
              <w:top w:val="nil"/>
              <w:left w:val="single" w:color="C0C0C0" w:sz="8" w:space="0"/>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302</w:t>
            </w:r>
          </w:p>
        </w:tc>
        <w:tc>
          <w:tcPr>
            <w:tcW w:w="284"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28</w:t>
            </w:r>
          </w:p>
        </w:tc>
        <w:tc>
          <w:tcPr>
            <w:tcW w:w="769"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22"/>
                <w:szCs w:val="22"/>
                <w:u w:val="none"/>
                <w:lang w:val="en-US" w:eastAsia="zh-CN" w:bidi="ar"/>
              </w:rPr>
              <w:t>3022801</w:t>
            </w:r>
          </w:p>
        </w:tc>
        <w:tc>
          <w:tcPr>
            <w:tcW w:w="1446"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ascii="Dialog . plain" w:hAnsi="Dialog . plain" w:eastAsia="Dialog . plain" w:cs="Dialog . plain"/>
                <w:i w:val="0"/>
                <w:iCs w:val="0"/>
                <w:color w:val="000000"/>
                <w:kern w:val="0"/>
                <w:sz w:val="22"/>
                <w:szCs w:val="22"/>
                <w:u w:val="none"/>
                <w:lang w:val="en-US" w:eastAsia="zh-CN" w:bidi="ar"/>
              </w:rPr>
              <w:t xml:space="preserve">   工会经费（比例）</w:t>
            </w:r>
          </w:p>
        </w:tc>
        <w:tc>
          <w:tcPr>
            <w:tcW w:w="101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c>
          <w:tcPr>
            <w:tcW w:w="1700"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jc w:val="right"/>
            </w:pPr>
          </w:p>
        </w:tc>
        <w:tc>
          <w:tcPr>
            <w:tcW w:w="2708" w:type="dxa"/>
            <w:tcBorders>
              <w:top w:val="nil"/>
              <w:left w:val="nil"/>
              <w:bottom w:val="single" w:color="C0C0C0" w:sz="8" w:space="0"/>
              <w:right w:val="single" w:color="C0C0C0"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5.65</w:t>
            </w:r>
          </w:p>
        </w:tc>
      </w:tr>
    </w:tbl>
    <w:p>
      <w:pPr>
        <w:pStyle w:val="4"/>
        <w:widowControl/>
        <w:numPr>
          <w:ilvl w:val="0"/>
          <w:numId w:val="0"/>
        </w:numPr>
        <w:spacing w:before="0" w:beforeAutospacing="0" w:after="0" w:afterAutospacing="0" w:line="600" w:lineRule="exact"/>
        <w:ind w:right="0" w:rightChars="0"/>
        <w:jc w:val="both"/>
        <w:outlineLvl w:val="1"/>
        <w:rPr>
          <w:rFonts w:hint="eastAsia" w:ascii="Times New Roman" w:hAnsi="Times New Roman" w:eastAsia="仿宋_GB2312" w:cs="仿宋_GB2312"/>
          <w:color w:val="333333"/>
          <w:sz w:val="32"/>
          <w:szCs w:val="32"/>
        </w:rPr>
      </w:pPr>
    </w:p>
    <w:p>
      <w:pPr>
        <w:pStyle w:val="4"/>
        <w:widowControl/>
        <w:numPr>
          <w:ilvl w:val="0"/>
          <w:numId w:val="2"/>
        </w:numPr>
        <w:spacing w:before="0" w:beforeAutospacing="0" w:after="0" w:afterAutospacing="0" w:line="600" w:lineRule="exact"/>
        <w:ind w:left="0" w:leftChars="0"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一般公共预算项目支出预算表（公开表3-2）</w:t>
      </w:r>
    </w:p>
    <w:tbl>
      <w:tblPr>
        <w:tblStyle w:val="5"/>
        <w:tblW w:w="7455" w:type="dxa"/>
        <w:tblInd w:w="0" w:type="dxa"/>
        <w:shd w:val="clear" w:color="auto" w:fill="auto"/>
        <w:tblLayout w:type="autofit"/>
        <w:tblCellMar>
          <w:top w:w="0" w:type="dxa"/>
          <w:left w:w="0" w:type="dxa"/>
          <w:bottom w:w="0" w:type="dxa"/>
          <w:right w:w="0" w:type="dxa"/>
        </w:tblCellMar>
      </w:tblPr>
      <w:tblGrid>
        <w:gridCol w:w="735"/>
        <w:gridCol w:w="735"/>
        <w:gridCol w:w="735"/>
        <w:gridCol w:w="1020"/>
        <w:gridCol w:w="2490"/>
        <w:gridCol w:w="1740"/>
      </w:tblGrid>
      <w:tr>
        <w:tblPrEx>
          <w:shd w:val="clear" w:color="auto" w:fill="auto"/>
          <w:tblCellMar>
            <w:top w:w="0" w:type="dxa"/>
            <w:left w:w="0" w:type="dxa"/>
            <w:bottom w:w="0" w:type="dxa"/>
            <w:right w:w="0" w:type="dxa"/>
          </w:tblCellMar>
        </w:tblPrEx>
        <w:trPr>
          <w:trHeight w:val="458" w:hRule="atLeast"/>
        </w:trPr>
        <w:tc>
          <w:tcPr>
            <w:tcW w:w="7455" w:type="dxa"/>
            <w:gridSpan w:val="6"/>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一般公共预算项目支出预算表</w:t>
            </w:r>
          </w:p>
        </w:tc>
      </w:tr>
      <w:tr>
        <w:tblPrEx>
          <w:tblCellMar>
            <w:top w:w="0" w:type="dxa"/>
            <w:left w:w="0" w:type="dxa"/>
            <w:bottom w:w="0" w:type="dxa"/>
            <w:right w:w="0" w:type="dxa"/>
          </w:tblCellMar>
        </w:tblPrEx>
        <w:trPr>
          <w:trHeight w:val="390" w:hRule="atLeast"/>
        </w:trPr>
        <w:tc>
          <w:tcPr>
            <w:tcW w:w="0" w:type="auto"/>
            <w:gridSpan w:val="5"/>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单位</w:t>
            </w:r>
            <w:r>
              <w:rPr>
                <w:rFonts w:hint="eastAsia" w:ascii="宋体" w:hAnsi="宋体" w:eastAsia="宋体" w:cs="宋体"/>
                <w:i w:val="0"/>
                <w:color w:val="000000"/>
                <w:kern w:val="0"/>
                <w:sz w:val="22"/>
                <w:szCs w:val="22"/>
                <w:u w:val="none"/>
                <w:lang w:val="en-US" w:eastAsia="zh-CN" w:bidi="ar"/>
              </w:rPr>
              <w:t>：乐山市奥林匹克学校</w:t>
            </w: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88"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单位代码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488"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58"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b/>
                <w:i w:val="0"/>
                <w:color w:val="000000"/>
                <w:sz w:val="22"/>
                <w:szCs w:val="22"/>
                <w:u w:val="none"/>
                <w:lang w:val="en-US"/>
              </w:rPr>
            </w:pPr>
            <w:r>
              <w:rPr>
                <w:rFonts w:hint="eastAsia" w:ascii="宋体" w:hAnsi="宋体" w:cs="宋体"/>
                <w:b/>
                <w:i w:val="0"/>
                <w:color w:val="000000"/>
                <w:kern w:val="0"/>
                <w:sz w:val="22"/>
                <w:szCs w:val="22"/>
                <w:u w:val="none"/>
                <w:lang w:val="en-US" w:eastAsia="zh-CN" w:bidi="ar"/>
              </w:rPr>
              <w:t>37.8</w:t>
            </w:r>
          </w:p>
        </w:tc>
      </w:tr>
      <w:tr>
        <w:tblPrEx>
          <w:tblCellMar>
            <w:top w:w="0" w:type="dxa"/>
            <w:left w:w="0" w:type="dxa"/>
            <w:bottom w:w="0" w:type="dxa"/>
            <w:right w:w="0" w:type="dxa"/>
          </w:tblCellMar>
        </w:tblPrEx>
        <w:trPr>
          <w:trHeight w:val="458" w:hRule="atLeast"/>
        </w:trPr>
        <w:tc>
          <w:tcPr>
            <w:tcW w:w="735" w:type="dxa"/>
            <w:tcBorders>
              <w:top w:val="nil"/>
              <w:left w:val="single" w:color="C2C3C4" w:sz="8" w:space="0"/>
              <w:bottom w:val="single" w:color="C2C3C4" w:sz="8" w:space="0"/>
              <w:right w:val="single" w:color="C2C3C4" w:sz="8"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735" w:type="dxa"/>
            <w:tcBorders>
              <w:top w:val="nil"/>
              <w:left w:val="nil"/>
              <w:bottom w:val="single" w:color="C2C3C4" w:sz="8" w:space="0"/>
              <w:right w:val="single" w:color="C2C3C4" w:sz="8"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735" w:type="dxa"/>
            <w:tcBorders>
              <w:top w:val="nil"/>
              <w:left w:val="nil"/>
              <w:bottom w:val="single" w:color="C2C3C4" w:sz="8" w:space="0"/>
              <w:right w:val="single" w:color="C2C3C4" w:sz="8"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1020" w:type="dxa"/>
            <w:tcBorders>
              <w:top w:val="nil"/>
              <w:left w:val="nil"/>
              <w:bottom w:val="single" w:color="C2C3C4" w:sz="8" w:space="0"/>
              <w:right w:val="single" w:color="C2C3C4" w:sz="8"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2490" w:type="dxa"/>
            <w:tcBorders>
              <w:top w:val="nil"/>
              <w:left w:val="nil"/>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初中教育</w:t>
            </w:r>
          </w:p>
        </w:tc>
        <w:tc>
          <w:tcPr>
            <w:tcW w:w="1740" w:type="dxa"/>
            <w:tcBorders>
              <w:top w:val="nil"/>
              <w:left w:val="nil"/>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37.8</w:t>
            </w:r>
          </w:p>
        </w:tc>
      </w:tr>
      <w:tr>
        <w:tblPrEx>
          <w:tblCellMar>
            <w:top w:w="0" w:type="dxa"/>
            <w:left w:w="0" w:type="dxa"/>
            <w:bottom w:w="0" w:type="dxa"/>
            <w:right w:w="0" w:type="dxa"/>
          </w:tblCellMar>
        </w:tblPrEx>
        <w:trPr>
          <w:trHeight w:val="458" w:hRule="atLeast"/>
        </w:trPr>
        <w:tc>
          <w:tcPr>
            <w:tcW w:w="735" w:type="dxa"/>
            <w:tcBorders>
              <w:top w:val="nil"/>
              <w:left w:val="single" w:color="C2C3C4" w:sz="8" w:space="0"/>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205</w:t>
            </w:r>
          </w:p>
        </w:tc>
        <w:tc>
          <w:tcPr>
            <w:tcW w:w="735" w:type="dxa"/>
            <w:tcBorders>
              <w:top w:val="nil"/>
              <w:left w:val="nil"/>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735" w:type="dxa"/>
            <w:tcBorders>
              <w:top w:val="nil"/>
              <w:left w:val="nil"/>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020" w:type="dxa"/>
            <w:tcBorders>
              <w:top w:val="nil"/>
              <w:left w:val="nil"/>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323303</w:t>
            </w:r>
          </w:p>
        </w:tc>
        <w:tc>
          <w:tcPr>
            <w:tcW w:w="2490" w:type="dxa"/>
            <w:tcBorders>
              <w:top w:val="nil"/>
              <w:left w:val="nil"/>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市奥校课后服务费</w:t>
            </w:r>
          </w:p>
        </w:tc>
        <w:tc>
          <w:tcPr>
            <w:tcW w:w="1740" w:type="dxa"/>
            <w:tcBorders>
              <w:top w:val="nil"/>
              <w:left w:val="nil"/>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37.8</w:t>
            </w:r>
          </w:p>
        </w:tc>
      </w:tr>
    </w:tbl>
    <w:p>
      <w:pPr>
        <w:pStyle w:val="4"/>
        <w:widowControl/>
        <w:numPr>
          <w:ilvl w:val="0"/>
          <w:numId w:val="0"/>
        </w:numPr>
        <w:spacing w:before="0" w:beforeAutospacing="0" w:after="0" w:afterAutospacing="0" w:line="600" w:lineRule="exact"/>
        <w:ind w:right="0" w:rightChars="0"/>
        <w:jc w:val="both"/>
        <w:outlineLvl w:val="1"/>
        <w:rPr>
          <w:rFonts w:hint="eastAsia" w:ascii="Times New Roman" w:hAnsi="Times New Roman" w:eastAsia="仿宋_GB2312" w:cs="仿宋_GB2312"/>
          <w:color w:val="333333"/>
          <w:sz w:val="32"/>
          <w:szCs w:val="32"/>
        </w:rPr>
      </w:pPr>
    </w:p>
    <w:p>
      <w:pPr>
        <w:pStyle w:val="4"/>
        <w:widowControl/>
        <w:numPr>
          <w:ilvl w:val="0"/>
          <w:numId w:val="2"/>
        </w:numPr>
        <w:spacing w:before="0" w:beforeAutospacing="0" w:after="0" w:afterAutospacing="0" w:line="600" w:lineRule="exact"/>
        <w:ind w:left="0" w:leftChars="0"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一般公共预算“三公”经费支出预算表（公开表3-3）</w:t>
      </w:r>
    </w:p>
    <w:tbl>
      <w:tblPr>
        <w:tblStyle w:val="5"/>
        <w:tblW w:w="8550" w:type="dxa"/>
        <w:tblInd w:w="0" w:type="dxa"/>
        <w:shd w:val="clear" w:color="auto" w:fill="auto"/>
        <w:tblLayout w:type="autofit"/>
        <w:tblCellMar>
          <w:top w:w="0" w:type="dxa"/>
          <w:left w:w="0" w:type="dxa"/>
          <w:bottom w:w="0" w:type="dxa"/>
          <w:right w:w="0" w:type="dxa"/>
        </w:tblCellMar>
      </w:tblPr>
      <w:tblGrid>
        <w:gridCol w:w="914"/>
        <w:gridCol w:w="1797"/>
        <w:gridCol w:w="474"/>
        <w:gridCol w:w="693"/>
        <w:gridCol w:w="474"/>
        <w:gridCol w:w="1577"/>
        <w:gridCol w:w="1577"/>
        <w:gridCol w:w="1570"/>
      </w:tblGrid>
      <w:tr>
        <w:tblPrEx>
          <w:shd w:val="clear" w:color="auto" w:fill="auto"/>
          <w:tblCellMar>
            <w:top w:w="0" w:type="dxa"/>
            <w:left w:w="0" w:type="dxa"/>
            <w:bottom w:w="0" w:type="dxa"/>
            <w:right w:w="0" w:type="dxa"/>
          </w:tblCellMar>
        </w:tblPrEx>
        <w:trPr>
          <w:trHeight w:val="458" w:hRule="atLeast"/>
        </w:trPr>
        <w:tc>
          <w:tcPr>
            <w:tcW w:w="8550" w:type="dxa"/>
            <w:gridSpan w:val="8"/>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一般公共预算“三公”经费支出预算表</w:t>
            </w:r>
          </w:p>
        </w:tc>
      </w:tr>
      <w:tr>
        <w:tblPrEx>
          <w:tblCellMar>
            <w:top w:w="0" w:type="dxa"/>
            <w:left w:w="0" w:type="dxa"/>
            <w:bottom w:w="0" w:type="dxa"/>
            <w:right w:w="0" w:type="dxa"/>
          </w:tblCellMar>
        </w:tblPrEx>
        <w:trPr>
          <w:trHeight w:val="390" w:hRule="atLeast"/>
        </w:trPr>
        <w:tc>
          <w:tcPr>
            <w:tcW w:w="0" w:type="auto"/>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单位</w:t>
            </w:r>
            <w:r>
              <w:rPr>
                <w:rFonts w:hint="eastAsia" w:ascii="宋体" w:hAnsi="宋体" w:eastAsia="宋体" w:cs="宋体"/>
                <w:i w:val="0"/>
                <w:color w:val="000000"/>
                <w:kern w:val="0"/>
                <w:sz w:val="22"/>
                <w:szCs w:val="22"/>
                <w:u w:val="none"/>
                <w:lang w:val="en-US" w:eastAsia="zh-CN" w:bidi="ar"/>
              </w:rPr>
              <w:t>：乐山市奥林匹克学校</w:t>
            </w: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88" w:hRule="atLeast"/>
        </w:trPr>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单位名称（科目）</w:t>
            </w:r>
          </w:p>
        </w:tc>
        <w:tc>
          <w:tcPr>
            <w:tcW w:w="0" w:type="auto"/>
            <w:gridSpan w:val="6"/>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当年财政拨款预算安排</w:t>
            </w:r>
          </w:p>
        </w:tc>
      </w:tr>
      <w:tr>
        <w:tblPrEx>
          <w:tblCellMar>
            <w:top w:w="0" w:type="dxa"/>
            <w:left w:w="0" w:type="dxa"/>
            <w:bottom w:w="0" w:type="dxa"/>
            <w:right w:w="0" w:type="dxa"/>
          </w:tblCellMar>
        </w:tblPrEx>
        <w:trPr>
          <w:trHeight w:val="488" w:hRule="atLeast"/>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945"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因公出国（境）费用</w:t>
            </w:r>
          </w:p>
        </w:tc>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488" w:hRule="atLeast"/>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45"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公务用车购置费</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公务用车运行费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58"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3.00</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58" w:hRule="atLeast"/>
        </w:trPr>
        <w:tc>
          <w:tcPr>
            <w:tcW w:w="1605" w:type="dxa"/>
            <w:tcBorders>
              <w:top w:val="single" w:color="C2C3C4" w:sz="8" w:space="0"/>
              <w:left w:val="single" w:color="C2C3C4" w:sz="8" w:space="0"/>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323303</w:t>
            </w:r>
          </w:p>
        </w:tc>
        <w:tc>
          <w:tcPr>
            <w:tcW w:w="2160" w:type="dxa"/>
            <w:tcBorders>
              <w:top w:val="single" w:color="C2C3C4" w:sz="8" w:space="0"/>
              <w:left w:val="nil"/>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乐山市奥林匹克学校</w:t>
            </w:r>
          </w:p>
        </w:tc>
        <w:tc>
          <w:tcPr>
            <w:tcW w:w="1320" w:type="dxa"/>
            <w:tcBorders>
              <w:top w:val="single" w:color="C2C3C4" w:sz="8" w:space="0"/>
              <w:left w:val="nil"/>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945" w:type="dxa"/>
            <w:tcBorders>
              <w:top w:val="single" w:color="C2C3C4" w:sz="8" w:space="0"/>
              <w:left w:val="nil"/>
              <w:bottom w:val="single" w:color="C2C3C4" w:sz="8" w:space="0"/>
              <w:right w:val="single" w:color="C2C3C4" w:sz="8"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630" w:type="dxa"/>
            <w:tcBorders>
              <w:top w:val="single" w:color="C2C3C4" w:sz="8" w:space="0"/>
              <w:left w:val="nil"/>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630" w:type="dxa"/>
            <w:tcBorders>
              <w:top w:val="single" w:color="C2C3C4" w:sz="8" w:space="0"/>
              <w:left w:val="nil"/>
              <w:bottom w:val="single" w:color="C2C3C4" w:sz="8" w:space="0"/>
              <w:right w:val="single" w:color="C2C3C4" w:sz="8" w:space="0"/>
            </w:tcBorders>
            <w:shd w:val="clear" w:color="auto" w:fill="auto"/>
            <w:tcMar>
              <w:top w:w="15" w:type="dxa"/>
              <w:left w:w="15" w:type="dxa"/>
              <w:right w:w="15" w:type="dxa"/>
            </w:tcMar>
            <w:vAlign w:val="top"/>
          </w:tcPr>
          <w:p>
            <w:pPr>
              <w:jc w:val="left"/>
              <w:rPr>
                <w:rFonts w:hint="default" w:ascii="Times New Roman" w:hAnsi="Times New Roman" w:eastAsia="宋体" w:cs="Times New Roman"/>
                <w:i w:val="0"/>
                <w:color w:val="000000"/>
                <w:sz w:val="22"/>
                <w:szCs w:val="22"/>
                <w:u w:val="none"/>
              </w:rPr>
            </w:pPr>
          </w:p>
        </w:tc>
        <w:tc>
          <w:tcPr>
            <w:tcW w:w="630" w:type="dxa"/>
            <w:tcBorders>
              <w:top w:val="single" w:color="C2C3C4" w:sz="8" w:space="0"/>
              <w:left w:val="nil"/>
              <w:bottom w:val="single" w:color="C2C3C4" w:sz="8" w:space="0"/>
              <w:right w:val="single" w:color="C2C3C4" w:sz="8" w:space="0"/>
            </w:tcBorders>
            <w:shd w:val="clear" w:color="auto" w:fill="auto"/>
            <w:tcMar>
              <w:top w:w="15" w:type="dxa"/>
              <w:left w:w="15" w:type="dxa"/>
              <w:right w:w="15" w:type="dxa"/>
            </w:tcMar>
            <w:vAlign w:val="top"/>
          </w:tcPr>
          <w:p>
            <w:pPr>
              <w:keepNext w:val="0"/>
              <w:keepLines w:val="0"/>
              <w:widowControl/>
              <w:suppressLineNumbers w:val="0"/>
              <w:jc w:val="righ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4"/>
        <w:widowControl/>
        <w:numPr>
          <w:ilvl w:val="0"/>
          <w:numId w:val="0"/>
        </w:numPr>
        <w:spacing w:before="0" w:beforeAutospacing="0" w:after="0" w:afterAutospacing="0" w:line="600" w:lineRule="exact"/>
        <w:ind w:right="0" w:rightChars="0"/>
        <w:jc w:val="both"/>
        <w:outlineLvl w:val="1"/>
        <w:rPr>
          <w:rFonts w:hint="eastAsia" w:ascii="Times New Roman" w:hAnsi="Times New Roman" w:eastAsia="仿宋_GB2312" w:cs="仿宋_GB2312"/>
          <w:color w:val="333333"/>
          <w:sz w:val="32"/>
          <w:szCs w:val="32"/>
        </w:rPr>
      </w:pPr>
    </w:p>
    <w:p>
      <w:pPr>
        <w:pStyle w:val="4"/>
        <w:widowControl/>
        <w:numPr>
          <w:ilvl w:val="0"/>
          <w:numId w:val="2"/>
        </w:numPr>
        <w:spacing w:before="0" w:beforeAutospacing="0" w:after="0" w:afterAutospacing="0" w:line="600" w:lineRule="exact"/>
        <w:ind w:left="0" w:leftChars="0"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政府性基金预算支出表（公开表4）</w:t>
      </w:r>
    </w:p>
    <w:tbl>
      <w:tblPr>
        <w:tblStyle w:val="5"/>
        <w:tblW w:w="9030" w:type="dxa"/>
        <w:tblInd w:w="0" w:type="dxa"/>
        <w:shd w:val="clear" w:color="auto" w:fill="auto"/>
        <w:tblLayout w:type="autofit"/>
        <w:tblCellMar>
          <w:top w:w="0" w:type="dxa"/>
          <w:left w:w="0" w:type="dxa"/>
          <w:bottom w:w="0" w:type="dxa"/>
          <w:right w:w="0" w:type="dxa"/>
        </w:tblCellMar>
      </w:tblPr>
      <w:tblGrid>
        <w:gridCol w:w="353"/>
        <w:gridCol w:w="353"/>
        <w:gridCol w:w="353"/>
        <w:gridCol w:w="1286"/>
        <w:gridCol w:w="2528"/>
        <w:gridCol w:w="664"/>
        <w:gridCol w:w="1286"/>
        <w:gridCol w:w="2207"/>
      </w:tblGrid>
      <w:tr>
        <w:tblPrEx>
          <w:shd w:val="clear" w:color="auto" w:fill="auto"/>
          <w:tblCellMar>
            <w:top w:w="0" w:type="dxa"/>
            <w:left w:w="0" w:type="dxa"/>
            <w:bottom w:w="0" w:type="dxa"/>
            <w:right w:w="0" w:type="dxa"/>
          </w:tblCellMar>
        </w:tblPrEx>
        <w:trPr>
          <w:trHeight w:val="458" w:hRule="atLeast"/>
        </w:trPr>
        <w:tc>
          <w:tcPr>
            <w:tcW w:w="9030"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政府性基金预算支出预算表 </w:t>
            </w:r>
          </w:p>
        </w:tc>
      </w:tr>
      <w:tr>
        <w:tblPrEx>
          <w:tblCellMar>
            <w:top w:w="0" w:type="dxa"/>
            <w:left w:w="0" w:type="dxa"/>
            <w:bottom w:w="0" w:type="dxa"/>
            <w:right w:w="0" w:type="dxa"/>
          </w:tblCellMar>
        </w:tblPrEx>
        <w:trPr>
          <w:trHeight w:val="390"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单位</w:t>
            </w:r>
            <w:r>
              <w:rPr>
                <w:rFonts w:hint="eastAsia" w:ascii="宋体" w:hAnsi="宋体" w:eastAsia="宋体" w:cs="宋体"/>
                <w:i w:val="0"/>
                <w:color w:val="000000"/>
                <w:kern w:val="0"/>
                <w:sz w:val="22"/>
                <w:szCs w:val="22"/>
                <w:u w:val="none"/>
                <w:lang w:val="en-US" w:eastAsia="zh-CN" w:bidi="ar"/>
              </w:rPr>
              <w:t>：乐山市奥林匹克学校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88"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0" w:type="auto"/>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本年政府性基金预算支出</w:t>
            </w:r>
          </w:p>
        </w:tc>
      </w:tr>
      <w:tr>
        <w:tblPrEx>
          <w:tblCellMar>
            <w:top w:w="0" w:type="dxa"/>
            <w:left w:w="0" w:type="dxa"/>
            <w:bottom w:w="0" w:type="dxa"/>
            <w:right w:w="0" w:type="dxa"/>
          </w:tblCellMar>
        </w:tblPrEx>
        <w:trPr>
          <w:trHeight w:val="48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88" w:hRule="atLeast"/>
        </w:trPr>
        <w:tc>
          <w:tcPr>
            <w:tcW w:w="0" w:type="auto"/>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58"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4"/>
        <w:widowControl/>
        <w:numPr>
          <w:ilvl w:val="0"/>
          <w:numId w:val="0"/>
        </w:numPr>
        <w:spacing w:before="0" w:beforeAutospacing="0" w:after="0" w:afterAutospacing="0" w:line="600" w:lineRule="exact"/>
        <w:ind w:right="0" w:rightChars="0"/>
        <w:jc w:val="both"/>
        <w:outlineLvl w:val="1"/>
        <w:rPr>
          <w:rFonts w:hint="eastAsia" w:ascii="Times New Roman" w:hAnsi="Times New Roman" w:eastAsia="仿宋_GB2312" w:cs="仿宋_GB2312"/>
          <w:color w:val="333333"/>
          <w:sz w:val="32"/>
          <w:szCs w:val="32"/>
        </w:rPr>
      </w:pPr>
    </w:p>
    <w:p>
      <w:pPr>
        <w:pStyle w:val="4"/>
        <w:widowControl/>
        <w:spacing w:before="0" w:beforeAutospacing="0" w:after="0" w:afterAutospacing="0" w:line="600" w:lineRule="exact"/>
        <w:ind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十一、政府性基金预算“三公”经费支出预算表（公开</w:t>
      </w:r>
    </w:p>
    <w:p>
      <w:pPr>
        <w:pStyle w:val="4"/>
        <w:widowControl/>
        <w:spacing w:before="0" w:beforeAutospacing="0" w:after="0" w:afterAutospacing="0" w:line="600" w:lineRule="exact"/>
        <w:ind w:firstLine="1600" w:firstLineChars="500"/>
        <w:jc w:val="both"/>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表4-1）</w:t>
      </w:r>
    </w:p>
    <w:tbl>
      <w:tblPr>
        <w:tblStyle w:val="5"/>
        <w:tblW w:w="9100" w:type="dxa"/>
        <w:tblInd w:w="0" w:type="dxa"/>
        <w:shd w:val="clear" w:color="auto" w:fill="auto"/>
        <w:tblLayout w:type="autofit"/>
        <w:tblCellMar>
          <w:top w:w="0" w:type="dxa"/>
          <w:left w:w="0" w:type="dxa"/>
          <w:bottom w:w="0" w:type="dxa"/>
          <w:right w:w="0" w:type="dxa"/>
        </w:tblCellMar>
      </w:tblPr>
      <w:tblGrid>
        <w:gridCol w:w="1268"/>
        <w:gridCol w:w="2492"/>
        <w:gridCol w:w="655"/>
        <w:gridCol w:w="1368"/>
        <w:gridCol w:w="766"/>
        <w:gridCol w:w="766"/>
        <w:gridCol w:w="766"/>
        <w:gridCol w:w="1019"/>
      </w:tblGrid>
      <w:tr>
        <w:tblPrEx>
          <w:shd w:val="clear" w:color="auto" w:fill="auto"/>
          <w:tblCellMar>
            <w:top w:w="0" w:type="dxa"/>
            <w:left w:w="0" w:type="dxa"/>
            <w:bottom w:w="0" w:type="dxa"/>
            <w:right w:w="0" w:type="dxa"/>
          </w:tblCellMar>
        </w:tblPrEx>
        <w:trPr>
          <w:trHeight w:val="634" w:hRule="atLeast"/>
        </w:trPr>
        <w:tc>
          <w:tcPr>
            <w:tcW w:w="9100" w:type="dxa"/>
            <w:gridSpan w:val="8"/>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政府性基金预算“三公”经费支出预算表</w:t>
            </w:r>
          </w:p>
        </w:tc>
      </w:tr>
      <w:tr>
        <w:tblPrEx>
          <w:tblCellMar>
            <w:top w:w="0" w:type="dxa"/>
            <w:left w:w="0" w:type="dxa"/>
            <w:bottom w:w="0" w:type="dxa"/>
            <w:right w:w="0" w:type="dxa"/>
          </w:tblCellMar>
        </w:tblPrEx>
        <w:trPr>
          <w:trHeight w:val="634" w:hRule="atLeast"/>
        </w:trPr>
        <w:tc>
          <w:tcPr>
            <w:tcW w:w="0" w:type="auto"/>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单位</w:t>
            </w:r>
            <w:r>
              <w:rPr>
                <w:rFonts w:hint="eastAsia" w:ascii="宋体" w:hAnsi="宋体" w:eastAsia="宋体" w:cs="宋体"/>
                <w:i w:val="0"/>
                <w:color w:val="000000"/>
                <w:kern w:val="0"/>
                <w:sz w:val="22"/>
                <w:szCs w:val="22"/>
                <w:u w:val="none"/>
                <w:lang w:val="en-US" w:eastAsia="zh-CN" w:bidi="ar"/>
              </w:rPr>
              <w:t>：乐山市奥林匹克学校</w:t>
            </w: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52"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01"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501" w:hRule="atLeast"/>
        </w:trPr>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单位名称（科目）</w:t>
            </w:r>
          </w:p>
        </w:tc>
        <w:tc>
          <w:tcPr>
            <w:tcW w:w="0" w:type="auto"/>
            <w:gridSpan w:val="6"/>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当年财政拨款预算安排</w:t>
            </w:r>
          </w:p>
        </w:tc>
      </w:tr>
      <w:tr>
        <w:tblPrEx>
          <w:tblCellMar>
            <w:top w:w="0" w:type="dxa"/>
            <w:left w:w="0" w:type="dxa"/>
            <w:bottom w:w="0" w:type="dxa"/>
            <w:right w:w="0" w:type="dxa"/>
          </w:tblCellMar>
        </w:tblPrEx>
        <w:trPr>
          <w:trHeight w:val="501" w:hRule="atLeast"/>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278"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因公出国（境）费用</w:t>
            </w:r>
          </w:p>
        </w:tc>
        <w:tc>
          <w:tcPr>
            <w:tcW w:w="2556" w:type="dxa"/>
            <w:gridSpan w:val="3"/>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公务用车购置及运行费</w:t>
            </w:r>
          </w:p>
        </w:tc>
        <w:tc>
          <w:tcPr>
            <w:tcW w:w="1001" w:type="dxa"/>
            <w:vMerge w:val="restart"/>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公务接待费</w:t>
            </w:r>
          </w:p>
        </w:tc>
      </w:tr>
      <w:tr>
        <w:tblPrEx>
          <w:tblCellMar>
            <w:top w:w="0" w:type="dxa"/>
            <w:left w:w="0" w:type="dxa"/>
            <w:bottom w:w="0" w:type="dxa"/>
            <w:right w:w="0" w:type="dxa"/>
          </w:tblCellMar>
        </w:tblPrEx>
        <w:trPr>
          <w:trHeight w:val="938" w:hRule="atLeast"/>
        </w:trPr>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78"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52"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852"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公务用车购置费</w:t>
            </w:r>
          </w:p>
        </w:tc>
        <w:tc>
          <w:tcPr>
            <w:tcW w:w="852" w:type="dxa"/>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公务用车运行费</w:t>
            </w:r>
          </w:p>
        </w:tc>
        <w:tc>
          <w:tcPr>
            <w:tcW w:w="1001" w:type="dxa"/>
            <w:vMerge w:val="continue"/>
            <w:tcBorders>
              <w:top w:val="single" w:color="C2C3C4" w:sz="4" w:space="0"/>
              <w:left w:val="single" w:color="C2C3C4" w:sz="4" w:space="0"/>
              <w:bottom w:val="single" w:color="C2C3C4" w:sz="4" w:space="0"/>
              <w:right w:val="single" w:color="C2C3C4"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72"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00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81"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852"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01" w:type="dxa"/>
            <w:tcBorders>
              <w:top w:val="single" w:color="C2C3C4" w:sz="4" w:space="0"/>
              <w:left w:val="single" w:color="C2C3C4" w:sz="4" w:space="0"/>
              <w:bottom w:val="single" w:color="C2C3C4" w:sz="4" w:space="0"/>
              <w:right w:val="single" w:color="C2C3C4"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4"/>
        <w:widowControl/>
        <w:spacing w:before="0" w:beforeAutospacing="0" w:after="0" w:afterAutospacing="0" w:line="600" w:lineRule="exact"/>
        <w:jc w:val="both"/>
        <w:rPr>
          <w:rFonts w:hint="eastAsia" w:ascii="Times New Roman" w:hAnsi="Times New Roman" w:eastAsia="仿宋_GB2312" w:cs="仿宋_GB2312"/>
          <w:color w:val="333333"/>
          <w:sz w:val="32"/>
          <w:szCs w:val="32"/>
        </w:rPr>
      </w:pPr>
    </w:p>
    <w:p>
      <w:pPr>
        <w:pStyle w:val="4"/>
        <w:widowControl/>
        <w:numPr>
          <w:ilvl w:val="0"/>
          <w:numId w:val="3"/>
        </w:numPr>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国有资本经营预算支出表（公开表5）</w:t>
      </w:r>
    </w:p>
    <w:tbl>
      <w:tblPr>
        <w:tblStyle w:val="5"/>
        <w:tblW w:w="8550" w:type="dxa"/>
        <w:tblInd w:w="0" w:type="dxa"/>
        <w:shd w:val="clear" w:color="auto" w:fill="auto"/>
        <w:tblLayout w:type="autofit"/>
        <w:tblCellMar>
          <w:top w:w="0" w:type="dxa"/>
          <w:left w:w="0" w:type="dxa"/>
          <w:bottom w:w="0" w:type="dxa"/>
          <w:right w:w="0" w:type="dxa"/>
        </w:tblCellMar>
      </w:tblPr>
      <w:tblGrid>
        <w:gridCol w:w="334"/>
        <w:gridCol w:w="334"/>
        <w:gridCol w:w="334"/>
        <w:gridCol w:w="1217"/>
        <w:gridCol w:w="2393"/>
        <w:gridCol w:w="629"/>
        <w:gridCol w:w="1217"/>
        <w:gridCol w:w="2092"/>
      </w:tblGrid>
      <w:tr>
        <w:tblPrEx>
          <w:shd w:val="clear" w:color="auto" w:fill="auto"/>
          <w:tblCellMar>
            <w:top w:w="0" w:type="dxa"/>
            <w:left w:w="0" w:type="dxa"/>
            <w:bottom w:w="0" w:type="dxa"/>
            <w:right w:w="0" w:type="dxa"/>
          </w:tblCellMar>
        </w:tblPrEx>
        <w:trPr>
          <w:trHeight w:val="458" w:hRule="atLeast"/>
        </w:trPr>
        <w:tc>
          <w:tcPr>
            <w:tcW w:w="8550" w:type="dxa"/>
            <w:gridSpan w:val="8"/>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国有资本经营预算支出预算表</w:t>
            </w:r>
          </w:p>
        </w:tc>
      </w:tr>
      <w:tr>
        <w:tblPrEx>
          <w:tblCellMar>
            <w:top w:w="0" w:type="dxa"/>
            <w:left w:w="0" w:type="dxa"/>
            <w:bottom w:w="0" w:type="dxa"/>
            <w:right w:w="0" w:type="dxa"/>
          </w:tblCellMar>
        </w:tblPrEx>
        <w:trPr>
          <w:trHeight w:val="390" w:hRule="atLeast"/>
        </w:trPr>
        <w:tc>
          <w:tcPr>
            <w:tcW w:w="0" w:type="auto"/>
            <w:gridSpan w:val="5"/>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单位</w:t>
            </w:r>
            <w:r>
              <w:rPr>
                <w:rFonts w:hint="eastAsia" w:ascii="宋体" w:hAnsi="宋体" w:eastAsia="宋体" w:cs="宋体"/>
                <w:i w:val="0"/>
                <w:color w:val="000000"/>
                <w:kern w:val="0"/>
                <w:sz w:val="22"/>
                <w:szCs w:val="22"/>
                <w:u w:val="none"/>
                <w:lang w:val="en-US" w:eastAsia="zh-CN" w:bidi="ar"/>
              </w:rPr>
              <w:t>：乐山市奥林匹克学校</w:t>
            </w: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88" w:hRule="atLeast"/>
        </w:trPr>
        <w:tc>
          <w:tcPr>
            <w:tcW w:w="0" w:type="auto"/>
            <w:gridSpan w:val="5"/>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本年国有资本经营预算支出</w:t>
            </w:r>
          </w:p>
        </w:tc>
      </w:tr>
      <w:tr>
        <w:tblPrEx>
          <w:tblCellMar>
            <w:top w:w="0" w:type="dxa"/>
            <w:left w:w="0" w:type="dxa"/>
            <w:bottom w:w="0" w:type="dxa"/>
            <w:right w:w="0" w:type="dxa"/>
          </w:tblCellMar>
        </w:tblPrEx>
        <w:trPr>
          <w:trHeight w:val="488" w:hRule="atLeast"/>
        </w:trPr>
        <w:tc>
          <w:tcPr>
            <w:tcW w:w="0" w:type="auto"/>
            <w:gridSpan w:val="3"/>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科目编码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单位代码</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单位名称（科目）</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0" w:type="auto"/>
            <w:vMerge w:val="restart"/>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CellMar>
            <w:top w:w="0" w:type="dxa"/>
            <w:left w:w="0" w:type="dxa"/>
            <w:bottom w:w="0" w:type="dxa"/>
            <w:right w:w="0" w:type="dxa"/>
          </w:tblCellMar>
        </w:tblPrEx>
        <w:trPr>
          <w:trHeight w:val="488" w:hRule="atLeast"/>
        </w:trPr>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类</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款</w:t>
            </w:r>
          </w:p>
        </w:tc>
        <w:tc>
          <w:tcPr>
            <w:tcW w:w="0" w:type="auto"/>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w:t>
            </w: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vMerge w:val="continue"/>
            <w:tcBorders>
              <w:top w:val="single" w:color="C2C3C4" w:sz="4" w:space="0"/>
              <w:left w:val="single" w:color="C2C3C4" w:sz="4" w:space="0"/>
              <w:bottom w:val="single" w:color="C2C3C4" w:sz="4" w:space="0"/>
              <w:right w:val="single" w:color="C2C3C4" w:sz="4" w:space="0"/>
            </w:tcBorders>
            <w:shd w:val="clear" w:color="EFF2F7" w:fill="EFF2F7"/>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58" w:hRule="atLeast"/>
        </w:trPr>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58" w:hRule="atLeast"/>
        </w:trPr>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FFFFFF" w:fill="FFFFFF"/>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4"/>
        <w:widowControl/>
        <w:numPr>
          <w:ilvl w:val="0"/>
          <w:numId w:val="0"/>
        </w:numPr>
        <w:spacing w:before="0" w:beforeAutospacing="0" w:after="0" w:afterAutospacing="0"/>
        <w:ind w:right="0" w:rightChars="0"/>
        <w:jc w:val="both"/>
        <w:rPr>
          <w:rFonts w:hint="eastAsia" w:ascii="Times New Roman" w:hAnsi="Times New Roman" w:eastAsia="仿宋_GB2312" w:cs="仿宋_GB2312"/>
          <w:color w:val="333333"/>
          <w:sz w:val="32"/>
          <w:szCs w:val="32"/>
        </w:rPr>
      </w:pPr>
    </w:p>
    <w:p>
      <w:pPr>
        <w:pStyle w:val="4"/>
        <w:widowControl/>
        <w:numPr>
          <w:ilvl w:val="0"/>
          <w:numId w:val="3"/>
        </w:numPr>
        <w:spacing w:before="0" w:beforeAutospacing="0" w:after="0" w:afterAutospacing="0" w:line="600" w:lineRule="exact"/>
        <w:ind w:left="0" w:leftChars="0" w:firstLine="640" w:firstLineChars="200"/>
        <w:jc w:val="both"/>
        <w:outlineLvl w:val="1"/>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lang w:eastAsia="zh-CN"/>
        </w:rPr>
        <w:t>单位</w:t>
      </w:r>
      <w:r>
        <w:rPr>
          <w:rFonts w:ascii="Times New Roman" w:hAnsi="Times New Roman" w:eastAsia="仿宋_GB2312" w:cs="仿宋_GB2312"/>
          <w:color w:val="333333"/>
          <w:sz w:val="32"/>
          <w:szCs w:val="32"/>
        </w:rPr>
        <w:t>预算项目支出绩效目标表（公开表6）</w:t>
      </w:r>
    </w:p>
    <w:tbl>
      <w:tblPr>
        <w:tblStyle w:val="5"/>
        <w:tblW w:w="9480" w:type="dxa"/>
        <w:tblInd w:w="0" w:type="dxa"/>
        <w:shd w:val="clear" w:color="auto" w:fill="auto"/>
        <w:tblLayout w:type="autofit"/>
        <w:tblCellMar>
          <w:top w:w="0" w:type="dxa"/>
          <w:left w:w="0" w:type="dxa"/>
          <w:bottom w:w="0" w:type="dxa"/>
          <w:right w:w="0" w:type="dxa"/>
        </w:tblCellMar>
      </w:tblPr>
      <w:tblGrid>
        <w:gridCol w:w="988"/>
        <w:gridCol w:w="753"/>
        <w:gridCol w:w="683"/>
        <w:gridCol w:w="1037"/>
        <w:gridCol w:w="770"/>
        <w:gridCol w:w="782"/>
        <w:gridCol w:w="915"/>
        <w:gridCol w:w="782"/>
        <w:gridCol w:w="588"/>
        <w:gridCol w:w="770"/>
        <w:gridCol w:w="441"/>
        <w:gridCol w:w="971"/>
      </w:tblGrid>
      <w:tr>
        <w:tblPrEx>
          <w:shd w:val="clear" w:color="auto" w:fill="auto"/>
          <w:tblCellMar>
            <w:top w:w="0" w:type="dxa"/>
            <w:left w:w="0" w:type="dxa"/>
            <w:bottom w:w="0" w:type="dxa"/>
            <w:right w:w="0" w:type="dxa"/>
          </w:tblCellMar>
        </w:tblPrEx>
        <w:trPr>
          <w:trHeight w:val="638" w:hRule="atLeast"/>
        </w:trPr>
        <w:tc>
          <w:tcPr>
            <w:tcW w:w="9480" w:type="dxa"/>
            <w:gridSpan w:val="12"/>
            <w:tcBorders>
              <w:top w:val="single" w:color="FFFFFF" w:sz="4" w:space="0"/>
              <w:left w:val="single" w:color="FFFFFF" w:sz="4" w:space="0"/>
              <w:bottom w:val="single" w:color="FFFFFF" w:sz="4" w:space="0"/>
              <w:right w:val="single" w:color="FFFFFF"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0"/>
                <w:szCs w:val="30"/>
                <w:u w:val="none"/>
              </w:rPr>
            </w:pPr>
            <w:r>
              <w:rPr>
                <w:rFonts w:hint="eastAsia" w:ascii="宋体" w:hAnsi="宋体" w:eastAsia="宋体" w:cs="宋体"/>
                <w:b/>
                <w:i w:val="0"/>
                <w:color w:val="000000"/>
                <w:kern w:val="0"/>
                <w:sz w:val="30"/>
                <w:szCs w:val="30"/>
                <w:u w:val="none"/>
                <w:lang w:val="en-US" w:eastAsia="zh-CN" w:bidi="ar"/>
              </w:rPr>
              <w:t>市级</w:t>
            </w:r>
            <w:r>
              <w:rPr>
                <w:rFonts w:hint="eastAsia" w:ascii="宋体" w:hAnsi="宋体" w:cs="宋体"/>
                <w:b/>
                <w:i w:val="0"/>
                <w:color w:val="000000"/>
                <w:kern w:val="0"/>
                <w:sz w:val="30"/>
                <w:szCs w:val="30"/>
                <w:u w:val="none"/>
                <w:lang w:val="en-US" w:eastAsia="zh-CN" w:bidi="ar"/>
              </w:rPr>
              <w:t>单位</w:t>
            </w:r>
            <w:r>
              <w:rPr>
                <w:rFonts w:hint="eastAsia" w:ascii="宋体" w:hAnsi="宋体" w:eastAsia="宋体" w:cs="宋体"/>
                <w:b/>
                <w:i w:val="0"/>
                <w:color w:val="000000"/>
                <w:kern w:val="0"/>
                <w:sz w:val="30"/>
                <w:szCs w:val="30"/>
                <w:u w:val="none"/>
                <w:lang w:val="en-US" w:eastAsia="zh-CN" w:bidi="ar"/>
              </w:rPr>
              <w:t>预算项目绩效目标申报表（202</w:t>
            </w:r>
            <w:r>
              <w:rPr>
                <w:rFonts w:hint="eastAsia" w:ascii="宋体" w:hAnsi="宋体" w:cs="宋体"/>
                <w:b/>
                <w:i w:val="0"/>
                <w:color w:val="000000"/>
                <w:kern w:val="0"/>
                <w:sz w:val="30"/>
                <w:szCs w:val="30"/>
                <w:u w:val="none"/>
                <w:lang w:val="en-US" w:eastAsia="zh-CN" w:bidi="ar"/>
              </w:rPr>
              <w:t>4</w:t>
            </w:r>
            <w:r>
              <w:rPr>
                <w:rFonts w:hint="eastAsia" w:ascii="宋体" w:hAnsi="宋体" w:eastAsia="宋体" w:cs="宋体"/>
                <w:b/>
                <w:i w:val="0"/>
                <w:color w:val="000000"/>
                <w:kern w:val="0"/>
                <w:sz w:val="30"/>
                <w:szCs w:val="30"/>
                <w:u w:val="none"/>
                <w:lang w:val="en-US" w:eastAsia="zh-CN" w:bidi="ar"/>
              </w:rPr>
              <w:t>年度）</w:t>
            </w:r>
          </w:p>
        </w:tc>
      </w:tr>
      <w:tr>
        <w:tblPrEx>
          <w:tblCellMar>
            <w:top w:w="0" w:type="dxa"/>
            <w:left w:w="0" w:type="dxa"/>
            <w:bottom w:w="0" w:type="dxa"/>
            <w:right w:w="0" w:type="dxa"/>
          </w:tblCellMar>
        </w:tblPrEx>
        <w:trPr>
          <w:trHeight w:val="408" w:hRule="atLeast"/>
        </w:trPr>
        <w:tc>
          <w:tcPr>
            <w:tcW w:w="3430" w:type="dxa"/>
            <w:gridSpan w:val="4"/>
            <w:tcBorders>
              <w:top w:val="single" w:color="FFFFFF" w:sz="4" w:space="0"/>
              <w:left w:val="single" w:color="FFFFFF" w:sz="4" w:space="0"/>
              <w:bottom w:val="nil"/>
              <w:right w:val="single" w:color="FFFFFF"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72" w:type="dxa"/>
            <w:tcBorders>
              <w:top w:val="single" w:color="FFFFFF" w:sz="4" w:space="0"/>
              <w:left w:val="single" w:color="FFFFFF" w:sz="4" w:space="0"/>
              <w:bottom w:val="nil"/>
              <w:right w:val="single" w:color="FFFFFF"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85" w:type="dxa"/>
            <w:tcBorders>
              <w:top w:val="single" w:color="FFFFFF" w:sz="4" w:space="0"/>
              <w:left w:val="single" w:color="FFFFFF" w:sz="4" w:space="0"/>
              <w:bottom w:val="nil"/>
              <w:right w:val="single" w:color="FFFFFF"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29" w:type="dxa"/>
            <w:tcBorders>
              <w:top w:val="single" w:color="FFFFFF" w:sz="4" w:space="0"/>
              <w:left w:val="single" w:color="FFFFFF" w:sz="4" w:space="0"/>
              <w:bottom w:val="nil"/>
              <w:right w:val="single" w:color="FFFFFF"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85" w:type="dxa"/>
            <w:tcBorders>
              <w:top w:val="single" w:color="FFFFFF" w:sz="4" w:space="0"/>
              <w:left w:val="single" w:color="FFFFFF" w:sz="4" w:space="0"/>
              <w:bottom w:val="nil"/>
              <w:right w:val="single" w:color="FFFFFF"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89" w:type="dxa"/>
            <w:tcBorders>
              <w:top w:val="single" w:color="FFFFFF" w:sz="4" w:space="0"/>
              <w:left w:val="single" w:color="FFFFFF" w:sz="4" w:space="0"/>
              <w:bottom w:val="nil"/>
              <w:right w:val="single" w:color="FFFFFF"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190" w:type="dxa"/>
            <w:gridSpan w:val="3"/>
            <w:tcBorders>
              <w:top w:val="single" w:color="FFFFFF" w:sz="4" w:space="0"/>
              <w:left w:val="single" w:color="FFFFFF" w:sz="4" w:space="0"/>
              <w:bottom w:val="nil"/>
              <w:right w:val="single" w:color="FFFFFF"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504" w:hRule="atLeast"/>
        </w:trPr>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年度目标</w:t>
            </w:r>
          </w:p>
        </w:tc>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权重</w:t>
            </w:r>
          </w:p>
        </w:tc>
        <w:tc>
          <w:tcPr>
            <w:tcW w:w="0" w:type="auto"/>
            <w:tcBorders>
              <w:top w:val="single" w:color="000000" w:sz="4" w:space="0"/>
              <w:left w:val="single" w:color="000000" w:sz="4" w:space="0"/>
              <w:bottom w:val="single" w:color="000000" w:sz="4" w:space="0"/>
              <w:right w:val="single" w:color="000000" w:sz="4" w:space="0"/>
            </w:tcBorders>
            <w:shd w:val="clear" w:color="EFF2F7"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指标方向性</w:t>
            </w:r>
          </w:p>
        </w:tc>
      </w:tr>
      <w:tr>
        <w:tblPrEx>
          <w:tblCellMar>
            <w:top w:w="0" w:type="dxa"/>
            <w:left w:w="0" w:type="dxa"/>
            <w:bottom w:w="0" w:type="dxa"/>
            <w:right w:w="0" w:type="dxa"/>
          </w:tblCellMar>
        </w:tblPrEx>
        <w:trPr>
          <w:trHeight w:val="638" w:hRule="atLeast"/>
        </w:trPr>
        <w:tc>
          <w:tcPr>
            <w:tcW w:w="1008"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单位</w:t>
            </w:r>
            <w:r>
              <w:rPr>
                <w:rFonts w:hint="eastAsia" w:ascii="宋体" w:hAnsi="宋体" w:eastAsia="宋体" w:cs="宋体"/>
                <w:i w:val="0"/>
                <w:color w:val="000000"/>
                <w:kern w:val="0"/>
                <w:sz w:val="18"/>
                <w:szCs w:val="18"/>
                <w:u w:val="none"/>
                <w:lang w:val="en-US" w:eastAsia="zh-CN" w:bidi="ar"/>
              </w:rPr>
              <w:t>预算编码-</w:t>
            </w:r>
            <w:r>
              <w:rPr>
                <w:rFonts w:hint="eastAsia" w:ascii="宋体" w:hAnsi="宋体" w:cs="宋体"/>
                <w:i w:val="0"/>
                <w:color w:val="000000"/>
                <w:kern w:val="0"/>
                <w:sz w:val="18"/>
                <w:szCs w:val="18"/>
                <w:u w:val="none"/>
                <w:lang w:val="en-US" w:eastAsia="zh-CN" w:bidi="ar"/>
              </w:rPr>
              <w:t>单位</w:t>
            </w:r>
            <w:r>
              <w:rPr>
                <w:rFonts w:hint="eastAsia" w:ascii="宋体" w:hAnsi="宋体" w:eastAsia="宋体" w:cs="宋体"/>
                <w:i w:val="0"/>
                <w:color w:val="000000"/>
                <w:kern w:val="0"/>
                <w:sz w:val="18"/>
                <w:szCs w:val="18"/>
                <w:u w:val="none"/>
                <w:lang w:val="en-US" w:eastAsia="zh-CN" w:bidi="ar"/>
              </w:rPr>
              <w:t>名称</w:t>
            </w:r>
          </w:p>
        </w:tc>
        <w:tc>
          <w:tcPr>
            <w:tcW w:w="66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69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06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2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8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89"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44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73"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323303-乐山市奥林匹克学校</w:t>
            </w:r>
          </w:p>
        </w:tc>
        <w:tc>
          <w:tcPr>
            <w:tcW w:w="667"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市奥校课后服务费</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7.80</w:t>
            </w:r>
          </w:p>
        </w:tc>
        <w:tc>
          <w:tcPr>
            <w:tcW w:w="106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全年按时发放课后服务费 41 人</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发放时间</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944"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职工满意度</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77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发放人数</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r>
              <w:rPr>
                <w:rFonts w:hint="eastAsia" w:ascii="宋体" w:hAnsi="宋体" w:cs="宋体"/>
                <w:i w:val="0"/>
                <w:color w:val="000000"/>
                <w:kern w:val="0"/>
                <w:sz w:val="18"/>
                <w:szCs w:val="18"/>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人数</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77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效益指标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职工待遇提升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高中低</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77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发放金额</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37.8</w:t>
            </w:r>
          </w:p>
        </w:tc>
        <w:tc>
          <w:tcPr>
            <w:tcW w:w="7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w:t>
            </w:r>
          </w:p>
        </w:tc>
        <w:tc>
          <w:tcPr>
            <w:tcW w:w="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正向指标</w:t>
            </w:r>
          </w:p>
        </w:tc>
      </w:tr>
      <w:tr>
        <w:tblPrEx>
          <w:tblCellMar>
            <w:top w:w="0" w:type="dxa"/>
            <w:left w:w="0" w:type="dxa"/>
            <w:bottom w:w="0" w:type="dxa"/>
            <w:right w:w="0" w:type="dxa"/>
          </w:tblCellMar>
        </w:tblPrEx>
        <w:trPr>
          <w:trHeight w:val="783"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67"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4"/>
        <w:widowControl/>
        <w:numPr>
          <w:ilvl w:val="0"/>
          <w:numId w:val="0"/>
        </w:numPr>
        <w:spacing w:before="0" w:beforeAutospacing="0" w:after="0" w:afterAutospacing="0" w:line="600" w:lineRule="exact"/>
        <w:ind w:right="0" w:rightChars="0"/>
        <w:jc w:val="both"/>
        <w:outlineLvl w:val="1"/>
        <w:rPr>
          <w:rFonts w:ascii="Times New Roman" w:hAnsi="Times New Roman" w:eastAsia="仿宋_GB2312" w:cs="仿宋_GB2312"/>
          <w:color w:val="333333"/>
          <w:sz w:val="32"/>
          <w:szCs w:val="32"/>
        </w:rPr>
      </w:pPr>
    </w:p>
    <w:p>
      <w:pPr>
        <w:pStyle w:val="4"/>
        <w:widowControl/>
        <w:numPr>
          <w:ilvl w:val="0"/>
          <w:numId w:val="3"/>
        </w:numPr>
        <w:spacing w:before="0" w:beforeAutospacing="0" w:after="0" w:afterAutospacing="0" w:line="600" w:lineRule="exact"/>
        <w:ind w:left="0" w:leftChars="0" w:firstLine="640" w:firstLineChars="200"/>
        <w:jc w:val="both"/>
        <w:outlineLvl w:val="1"/>
        <w:rPr>
          <w:rFonts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lang w:eastAsia="zh-CN"/>
        </w:rPr>
        <w:t>单位</w:t>
      </w:r>
      <w:r>
        <w:rPr>
          <w:rFonts w:ascii="Times New Roman" w:hAnsi="Times New Roman" w:eastAsia="仿宋_GB2312" w:cs="仿宋_GB2312"/>
          <w:color w:val="333333"/>
          <w:sz w:val="32"/>
          <w:szCs w:val="32"/>
        </w:rPr>
        <w:t>整体支出绩效目标表（公开表7）</w:t>
      </w:r>
    </w:p>
    <w:tbl>
      <w:tblPr>
        <w:tblStyle w:val="5"/>
        <w:tblW w:w="7185" w:type="dxa"/>
        <w:tblInd w:w="0" w:type="dxa"/>
        <w:shd w:val="clear" w:color="auto" w:fill="auto"/>
        <w:tblLayout w:type="autofit"/>
        <w:tblCellMar>
          <w:top w:w="0" w:type="dxa"/>
          <w:left w:w="0" w:type="dxa"/>
          <w:bottom w:w="0" w:type="dxa"/>
          <w:right w:w="0" w:type="dxa"/>
        </w:tblCellMar>
      </w:tblPr>
      <w:tblGrid>
        <w:gridCol w:w="690"/>
        <w:gridCol w:w="1275"/>
        <w:gridCol w:w="525"/>
        <w:gridCol w:w="1185"/>
        <w:gridCol w:w="810"/>
        <w:gridCol w:w="1155"/>
        <w:gridCol w:w="1110"/>
        <w:gridCol w:w="435"/>
      </w:tblGrid>
      <w:tr>
        <w:tblPrEx>
          <w:shd w:val="clear" w:color="auto" w:fill="auto"/>
          <w:tblCellMar>
            <w:top w:w="0" w:type="dxa"/>
            <w:left w:w="0" w:type="dxa"/>
            <w:bottom w:w="0" w:type="dxa"/>
            <w:right w:w="0" w:type="dxa"/>
          </w:tblCellMar>
        </w:tblPrEx>
        <w:trPr>
          <w:trHeight w:val="825" w:hRule="atLeast"/>
        </w:trPr>
        <w:tc>
          <w:tcPr>
            <w:tcW w:w="718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整体支出绩效目标申报表</w:t>
            </w:r>
          </w:p>
        </w:tc>
      </w:tr>
      <w:tr>
        <w:tblPrEx>
          <w:tblCellMar>
            <w:top w:w="0" w:type="dxa"/>
            <w:left w:w="0" w:type="dxa"/>
            <w:bottom w:w="0" w:type="dxa"/>
            <w:right w:w="0" w:type="dxa"/>
          </w:tblCellMar>
        </w:tblPrEx>
        <w:trPr>
          <w:trHeight w:val="327" w:hRule="atLeast"/>
        </w:trPr>
        <w:tc>
          <w:tcPr>
            <w:tcW w:w="7185"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（202</w:t>
            </w:r>
            <w:r>
              <w:rPr>
                <w:rFonts w:hint="eastAsia" w:ascii="宋体" w:hAnsi="宋体" w:cs="宋体"/>
                <w:i w:val="0"/>
                <w:color w:val="000000"/>
                <w:kern w:val="0"/>
                <w:sz w:val="18"/>
                <w:szCs w:val="18"/>
                <w:u w:val="none"/>
                <w:lang w:val="en-US" w:eastAsia="zh-CN" w:bidi="ar"/>
              </w:rPr>
              <w:t>4</w:t>
            </w:r>
            <w:r>
              <w:rPr>
                <w:rFonts w:ascii="宋体" w:hAnsi="宋体" w:eastAsia="宋体" w:cs="宋体"/>
                <w:i w:val="0"/>
                <w:color w:val="000000"/>
                <w:kern w:val="0"/>
                <w:sz w:val="18"/>
                <w:szCs w:val="18"/>
                <w:u w:val="none"/>
                <w:lang w:val="en-US" w:eastAsia="zh-CN" w:bidi="ar"/>
              </w:rPr>
              <w:t>年度）</w:t>
            </w:r>
          </w:p>
        </w:tc>
      </w:tr>
      <w:tr>
        <w:tblPrEx>
          <w:tblCellMar>
            <w:top w:w="0" w:type="dxa"/>
            <w:left w:w="0" w:type="dxa"/>
            <w:bottom w:w="0" w:type="dxa"/>
            <w:right w:w="0" w:type="dxa"/>
          </w:tblCellMar>
        </w:tblPrEx>
        <w:trPr>
          <w:trHeight w:val="327" w:hRule="atLeast"/>
        </w:trPr>
        <w:tc>
          <w:tcPr>
            <w:tcW w:w="7185" w:type="dxa"/>
            <w:gridSpan w:val="8"/>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i w:val="0"/>
                <w:color w:val="000000"/>
                <w:sz w:val="22"/>
                <w:szCs w:val="22"/>
                <w:u w:val="none"/>
              </w:rPr>
            </w:pPr>
            <w:r>
              <w:rPr>
                <w:rFonts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653" w:hRule="atLeast"/>
        </w:trPr>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单位</w:t>
            </w:r>
            <w:r>
              <w:rPr>
                <w:rFonts w:ascii="宋体" w:hAnsi="宋体" w:eastAsia="宋体" w:cs="宋体"/>
                <w:i w:val="0"/>
                <w:color w:val="000000"/>
                <w:kern w:val="0"/>
                <w:sz w:val="18"/>
                <w:szCs w:val="18"/>
                <w:u w:val="none"/>
                <w:lang w:val="en-US" w:eastAsia="zh-CN" w:bidi="ar"/>
              </w:rPr>
              <w:t>名称</w:t>
            </w:r>
          </w:p>
        </w:tc>
        <w:tc>
          <w:tcPr>
            <w:tcW w:w="46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乐山市奥林匹克学校</w:t>
            </w:r>
          </w:p>
        </w:tc>
      </w:tr>
      <w:tr>
        <w:tblPrEx>
          <w:tblCellMar>
            <w:top w:w="0" w:type="dxa"/>
            <w:left w:w="0" w:type="dxa"/>
            <w:bottom w:w="0" w:type="dxa"/>
            <w:right w:w="0" w:type="dxa"/>
          </w:tblCellMar>
        </w:tblPrEx>
        <w:trPr>
          <w:trHeight w:val="65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年度主要任务</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任务名称</w:t>
            </w:r>
          </w:p>
        </w:tc>
        <w:tc>
          <w:tcPr>
            <w:tcW w:w="46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主要内容</w:t>
            </w:r>
          </w:p>
        </w:tc>
      </w:tr>
      <w:tr>
        <w:tblPrEx>
          <w:tblCellMar>
            <w:top w:w="0" w:type="dxa"/>
            <w:left w:w="0" w:type="dxa"/>
            <w:bottom w:w="0" w:type="dxa"/>
            <w:right w:w="0" w:type="dxa"/>
          </w:tblCellMar>
        </w:tblPrEx>
        <w:trPr>
          <w:trHeight w:val="6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培养和输送高水平体育后备人才和社会体育人才</w:t>
            </w:r>
          </w:p>
        </w:tc>
        <w:tc>
          <w:tcPr>
            <w:tcW w:w="46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培养和输送高水平体育后备人才和社会体育人才</w:t>
            </w:r>
          </w:p>
        </w:tc>
      </w:tr>
      <w:tr>
        <w:tblPrEx>
          <w:tblCellMar>
            <w:top w:w="0" w:type="dxa"/>
            <w:left w:w="0" w:type="dxa"/>
            <w:bottom w:w="0" w:type="dxa"/>
            <w:right w:w="0" w:type="dxa"/>
          </w:tblCellMar>
        </w:tblPrEx>
        <w:trPr>
          <w:trHeight w:val="6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承担乐山市组队参加省运会和全国单项比赛任务</w:t>
            </w:r>
          </w:p>
        </w:tc>
        <w:tc>
          <w:tcPr>
            <w:tcW w:w="469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完成省十四运会各运动队组队及备战训练任务</w:t>
            </w:r>
          </w:p>
        </w:tc>
      </w:tr>
      <w:tr>
        <w:tblPrEx>
          <w:tblCellMar>
            <w:top w:w="0" w:type="dxa"/>
            <w:left w:w="0" w:type="dxa"/>
            <w:bottom w:w="0" w:type="dxa"/>
            <w:right w:w="0" w:type="dxa"/>
          </w:tblCellMar>
        </w:tblPrEx>
        <w:trPr>
          <w:trHeight w:val="6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9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w:t>
            </w:r>
            <w:r>
              <w:rPr>
                <w:rFonts w:hint="eastAsia" w:ascii="宋体" w:hAnsi="宋体" w:cs="宋体"/>
                <w:i w:val="0"/>
                <w:color w:val="000000"/>
                <w:kern w:val="0"/>
                <w:sz w:val="18"/>
                <w:szCs w:val="18"/>
                <w:u w:val="none"/>
                <w:lang w:val="en-US" w:eastAsia="zh-CN" w:bidi="ar"/>
              </w:rPr>
              <w:t>单位</w:t>
            </w:r>
            <w:r>
              <w:rPr>
                <w:rFonts w:ascii="宋体" w:hAnsi="宋体" w:eastAsia="宋体" w:cs="宋体"/>
                <w:i w:val="0"/>
                <w:color w:val="000000"/>
                <w:kern w:val="0"/>
                <w:sz w:val="18"/>
                <w:szCs w:val="18"/>
                <w:u w:val="none"/>
                <w:lang w:val="en-US" w:eastAsia="zh-CN" w:bidi="ar"/>
              </w:rPr>
              <w:t>整体支出预算</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资金总额</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财政拨款</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其他资金</w:t>
            </w:r>
          </w:p>
        </w:tc>
      </w:tr>
      <w:tr>
        <w:tblPrEx>
          <w:tblCellMar>
            <w:top w:w="0" w:type="dxa"/>
            <w:left w:w="0" w:type="dxa"/>
            <w:bottom w:w="0" w:type="dxa"/>
            <w:right w:w="0" w:type="dxa"/>
          </w:tblCellMar>
        </w:tblPrEx>
        <w:trPr>
          <w:trHeight w:val="6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79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000000"/>
                <w:sz w:val="22"/>
                <w:szCs w:val="22"/>
                <w:u w:val="none"/>
                <w:lang w:val="en-US"/>
              </w:rPr>
            </w:pPr>
            <w:r>
              <w:rPr>
                <w:rFonts w:hint="eastAsia" w:ascii="宋体" w:hAnsi="宋体" w:cs="宋体"/>
                <w:i w:val="0"/>
                <w:color w:val="000000"/>
                <w:kern w:val="0"/>
                <w:sz w:val="22"/>
                <w:szCs w:val="22"/>
                <w:u w:val="none"/>
                <w:lang w:val="en-US" w:eastAsia="zh-CN" w:bidi="ar"/>
              </w:rPr>
              <w:t>684.5</w:t>
            </w:r>
          </w:p>
        </w:tc>
        <w:tc>
          <w:tcPr>
            <w:tcW w:w="0" w:type="auto"/>
            <w:tcBorders>
              <w:top w:val="single" w:color="C2C3C4" w:sz="4" w:space="0"/>
              <w:left w:val="single" w:color="C2C3C4" w:sz="4" w:space="0"/>
              <w:bottom w:val="single" w:color="C2C3C4" w:sz="4" w:space="0"/>
              <w:right w:val="single" w:color="C2C3C4"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684.5</w:t>
            </w:r>
          </w:p>
        </w:tc>
        <w:tc>
          <w:tcPr>
            <w:tcW w:w="4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7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年度总体目标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完成省十</w:t>
            </w:r>
            <w:r>
              <w:rPr>
                <w:rFonts w:hint="eastAsia" w:ascii="宋体" w:hAnsi="宋体" w:cs="宋体"/>
                <w:i w:val="0"/>
                <w:color w:val="000000"/>
                <w:kern w:val="0"/>
                <w:sz w:val="18"/>
                <w:szCs w:val="18"/>
                <w:u w:val="none"/>
                <w:lang w:val="en-US" w:eastAsia="zh-CN" w:bidi="ar"/>
              </w:rPr>
              <w:t>五</w:t>
            </w:r>
            <w:r>
              <w:rPr>
                <w:rFonts w:ascii="宋体" w:hAnsi="宋体" w:eastAsia="宋体" w:cs="宋体"/>
                <w:i w:val="0"/>
                <w:color w:val="000000"/>
                <w:kern w:val="0"/>
                <w:sz w:val="18"/>
                <w:szCs w:val="18"/>
                <w:u w:val="none"/>
                <w:lang w:val="en-US" w:eastAsia="zh-CN" w:bidi="ar"/>
              </w:rPr>
              <w:t>运会各运动队组队参赛；完成202</w:t>
            </w:r>
            <w:r>
              <w:rPr>
                <w:rFonts w:hint="eastAsia" w:ascii="宋体" w:hAnsi="宋体" w:cs="宋体"/>
                <w:i w:val="0"/>
                <w:color w:val="000000"/>
                <w:kern w:val="0"/>
                <w:sz w:val="18"/>
                <w:szCs w:val="18"/>
                <w:u w:val="none"/>
                <w:lang w:val="en-US" w:eastAsia="zh-CN" w:bidi="ar"/>
              </w:rPr>
              <w:t>4</w:t>
            </w:r>
            <w:r>
              <w:rPr>
                <w:rFonts w:ascii="宋体" w:hAnsi="宋体" w:eastAsia="宋体" w:cs="宋体"/>
                <w:i w:val="0"/>
                <w:color w:val="000000"/>
                <w:kern w:val="0"/>
                <w:sz w:val="18"/>
                <w:szCs w:val="18"/>
                <w:u w:val="none"/>
                <w:lang w:val="en-US" w:eastAsia="zh-CN" w:bidi="ar"/>
              </w:rPr>
              <w:t>年基础教育教学工作。</w:t>
            </w:r>
          </w:p>
        </w:tc>
      </w:tr>
      <w:tr>
        <w:tblPrEx>
          <w:tblCellMar>
            <w:top w:w="0" w:type="dxa"/>
            <w:left w:w="0" w:type="dxa"/>
            <w:bottom w:w="0" w:type="dxa"/>
            <w:right w:w="0" w:type="dxa"/>
          </w:tblCellMar>
        </w:tblPrEx>
        <w:trPr>
          <w:trHeight w:val="653" w:hRule="atLeast"/>
        </w:trPr>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年度绩效指标</w:t>
            </w:r>
          </w:p>
        </w:tc>
        <w:tc>
          <w:tcPr>
            <w:tcW w:w="127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一级指标</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二级指标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三级指标</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指标值（包含数字及文字描述）</w:t>
            </w:r>
          </w:p>
        </w:tc>
      </w:tr>
      <w:tr>
        <w:tblPrEx>
          <w:tblCellMar>
            <w:top w:w="0" w:type="dxa"/>
            <w:left w:w="0" w:type="dxa"/>
            <w:bottom w:w="0" w:type="dxa"/>
            <w:right w:w="0" w:type="dxa"/>
          </w:tblCellMar>
        </w:tblPrEx>
        <w:trPr>
          <w:trHeight w:val="6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产出指标</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数量指标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参赛人数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≥300人</w:t>
            </w:r>
          </w:p>
        </w:tc>
      </w:tr>
      <w:tr>
        <w:tblPrEx>
          <w:tblCellMar>
            <w:top w:w="0" w:type="dxa"/>
            <w:left w:w="0" w:type="dxa"/>
            <w:bottom w:w="0" w:type="dxa"/>
            <w:right w:w="0" w:type="dxa"/>
          </w:tblCellMar>
        </w:tblPrEx>
        <w:trPr>
          <w:trHeight w:val="6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质量指标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参赛质量</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优秀</w:t>
            </w:r>
          </w:p>
        </w:tc>
      </w:tr>
      <w:tr>
        <w:tblPrEx>
          <w:tblCellMar>
            <w:top w:w="0" w:type="dxa"/>
            <w:left w:w="0" w:type="dxa"/>
            <w:bottom w:w="0" w:type="dxa"/>
            <w:right w:w="0" w:type="dxa"/>
          </w:tblCellMar>
        </w:tblPrEx>
        <w:trPr>
          <w:trHeight w:val="653"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效益指标</w:t>
            </w:r>
          </w:p>
        </w:tc>
        <w:tc>
          <w:tcPr>
            <w:tcW w:w="171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社会效益</w:t>
            </w:r>
          </w:p>
        </w:tc>
        <w:tc>
          <w:tcPr>
            <w:tcW w:w="196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提升学校知名度</w:t>
            </w:r>
          </w:p>
        </w:tc>
        <w:tc>
          <w:tcPr>
            <w:tcW w:w="1545"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明显提升</w:t>
            </w:r>
          </w:p>
        </w:tc>
      </w:tr>
      <w:tr>
        <w:tblPrEx>
          <w:tblCellMar>
            <w:top w:w="0" w:type="dxa"/>
            <w:left w:w="0" w:type="dxa"/>
            <w:bottom w:w="0" w:type="dxa"/>
            <w:right w:w="0" w:type="dxa"/>
          </w:tblCellMar>
        </w:tblPrEx>
        <w:trPr>
          <w:trHeight w:val="420" w:hRule="atLeast"/>
        </w:trPr>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满意度指标</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服务对象满意度指标</w:t>
            </w:r>
          </w:p>
        </w:tc>
        <w:tc>
          <w:tcPr>
            <w:tcW w:w="19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社会满意度</w:t>
            </w:r>
          </w:p>
        </w:tc>
        <w:tc>
          <w:tcPr>
            <w:tcW w:w="154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≥95%</w:t>
            </w:r>
          </w:p>
        </w:tc>
      </w:tr>
    </w:tbl>
    <w:p>
      <w:pPr>
        <w:pStyle w:val="4"/>
        <w:widowControl/>
        <w:numPr>
          <w:ilvl w:val="0"/>
          <w:numId w:val="0"/>
        </w:numPr>
        <w:spacing w:before="0" w:beforeAutospacing="0" w:after="0" w:afterAutospacing="0" w:line="600" w:lineRule="exact"/>
        <w:ind w:right="0" w:rightChars="0"/>
        <w:jc w:val="both"/>
        <w:outlineLvl w:val="1"/>
        <w:rPr>
          <w:rFonts w:hint="eastAsia" w:ascii="Times New Roman" w:hAnsi="Times New Roman" w:eastAsia="仿宋_GB2312" w:cs="仿宋_GB2312"/>
          <w:color w:val="333333"/>
          <w:sz w:val="32"/>
          <w:szCs w:val="32"/>
        </w:rPr>
      </w:pPr>
    </w:p>
    <w:p>
      <w:pPr>
        <w:pStyle w:val="4"/>
        <w:widowControl/>
        <w:numPr>
          <w:ilvl w:val="0"/>
          <w:numId w:val="3"/>
        </w:numPr>
        <w:spacing w:before="0" w:beforeAutospacing="0" w:after="0" w:afterAutospacing="0" w:line="600" w:lineRule="exact"/>
        <w:ind w:left="0" w:leftChars="0" w:firstLine="640" w:firstLineChars="200"/>
        <w:jc w:val="both"/>
        <w:outlineLvl w:val="1"/>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政府采购预算表（公开表8）</w:t>
      </w:r>
    </w:p>
    <w:tbl>
      <w:tblPr>
        <w:tblStyle w:val="5"/>
        <w:tblW w:w="8850" w:type="dxa"/>
        <w:tblInd w:w="0" w:type="dxa"/>
        <w:shd w:val="clear" w:color="auto" w:fill="auto"/>
        <w:tblLayout w:type="autofit"/>
        <w:tblCellMar>
          <w:top w:w="0" w:type="dxa"/>
          <w:left w:w="0" w:type="dxa"/>
          <w:bottom w:w="0" w:type="dxa"/>
          <w:right w:w="0" w:type="dxa"/>
        </w:tblCellMar>
      </w:tblPr>
      <w:tblGrid>
        <w:gridCol w:w="1008"/>
        <w:gridCol w:w="2070"/>
        <w:gridCol w:w="1076"/>
        <w:gridCol w:w="1110"/>
        <w:gridCol w:w="1008"/>
        <w:gridCol w:w="1008"/>
        <w:gridCol w:w="1570"/>
      </w:tblGrid>
      <w:tr>
        <w:tblPrEx>
          <w:shd w:val="clear" w:color="auto" w:fill="auto"/>
          <w:tblCellMar>
            <w:top w:w="0" w:type="dxa"/>
            <w:left w:w="0" w:type="dxa"/>
            <w:bottom w:w="0" w:type="dxa"/>
            <w:right w:w="0" w:type="dxa"/>
          </w:tblCellMar>
        </w:tblPrEx>
        <w:trPr>
          <w:trHeight w:val="499" w:hRule="atLeast"/>
        </w:trPr>
        <w:tc>
          <w:tcPr>
            <w:tcW w:w="8850" w:type="dxa"/>
            <w:gridSpan w:val="7"/>
            <w:tcBorders>
              <w:top w:val="single" w:color="FFFFFF" w:sz="4" w:space="0"/>
              <w:left w:val="single" w:color="FFFFFF" w:sz="4" w:space="0"/>
              <w:bottom w:val="single" w:color="FFFFFF" w:sz="4" w:space="0"/>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政 府 采 购 预 算 表</w:t>
            </w:r>
          </w:p>
        </w:tc>
      </w:tr>
      <w:tr>
        <w:tblPrEx>
          <w:tblCellMar>
            <w:top w:w="0" w:type="dxa"/>
            <w:left w:w="0" w:type="dxa"/>
            <w:bottom w:w="0" w:type="dxa"/>
            <w:right w:w="0" w:type="dxa"/>
          </w:tblCellMar>
        </w:tblPrEx>
        <w:trPr>
          <w:trHeight w:val="499" w:hRule="atLeast"/>
        </w:trPr>
        <w:tc>
          <w:tcPr>
            <w:tcW w:w="0" w:type="auto"/>
            <w:gridSpan w:val="2"/>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单位</w:t>
            </w:r>
            <w:r>
              <w:rPr>
                <w:rFonts w:hint="eastAsia" w:ascii="宋体" w:hAnsi="宋体" w:eastAsia="宋体" w:cs="宋体"/>
                <w:i w:val="0"/>
                <w:color w:val="000000"/>
                <w:kern w:val="0"/>
                <w:sz w:val="22"/>
                <w:szCs w:val="22"/>
                <w:u w:val="none"/>
                <w:lang w:val="en-US" w:eastAsia="zh-CN" w:bidi="ar"/>
              </w:rPr>
              <w:t xml:space="preserve">： 乐山市奥林匹克学校  </w:t>
            </w:r>
          </w:p>
        </w:tc>
        <w:tc>
          <w:tcPr>
            <w:tcW w:w="120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26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1080" w:type="dxa"/>
            <w:tcBorders>
              <w:top w:val="single" w:color="FFFFFF" w:sz="4" w:space="0"/>
              <w:left w:val="single" w:color="FFFFFF" w:sz="4" w:space="0"/>
              <w:bottom w:val="nil"/>
              <w:right w:val="single" w:color="FFFFFF"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FFFFFF" w:sz="4" w:space="0"/>
              <w:left w:val="single" w:color="FFFFFF" w:sz="4" w:space="0"/>
              <w:bottom w:val="nil"/>
              <w:right w:val="single" w:color="FFFFFF"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CellMar>
            <w:top w:w="0" w:type="dxa"/>
            <w:left w:w="0" w:type="dxa"/>
            <w:bottom w:w="0" w:type="dxa"/>
            <w:right w:w="0" w:type="dxa"/>
          </w:tblCellMar>
        </w:tblPrEx>
        <w:trPr>
          <w:trHeight w:val="499" w:hRule="atLeast"/>
        </w:trPr>
        <w:tc>
          <w:tcPr>
            <w:tcW w:w="5610" w:type="dxa"/>
            <w:gridSpan w:val="4"/>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采购数量</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面向中小企业</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政府采购预算</w:t>
            </w:r>
          </w:p>
        </w:tc>
      </w:tr>
      <w:tr>
        <w:tblPrEx>
          <w:tblCellMar>
            <w:top w:w="0" w:type="dxa"/>
            <w:left w:w="0" w:type="dxa"/>
            <w:bottom w:w="0" w:type="dxa"/>
            <w:right w:w="0" w:type="dxa"/>
          </w:tblCellMar>
        </w:tblPrEx>
        <w:trPr>
          <w:trHeight w:val="499"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单位代码</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单位名称（科目）</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品目序号</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品目名称</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99"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EFF2F7" w:fill="EFF2F7"/>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4"/>
        <w:widowControl/>
        <w:numPr>
          <w:ilvl w:val="0"/>
          <w:numId w:val="0"/>
        </w:numPr>
        <w:spacing w:before="0" w:beforeAutospacing="0" w:after="0" w:afterAutospacing="0" w:line="600" w:lineRule="exact"/>
        <w:ind w:right="0" w:rightChars="0"/>
        <w:jc w:val="both"/>
        <w:outlineLvl w:val="1"/>
        <w:rPr>
          <w:rFonts w:hint="eastAsia" w:ascii="Times New Roman" w:hAnsi="Times New Roman" w:eastAsia="仿宋_GB2312" w:cs="仿宋_GB2312"/>
          <w:color w:val="333333"/>
          <w:sz w:val="32"/>
          <w:szCs w:val="32"/>
        </w:rPr>
      </w:pPr>
    </w:p>
    <w:p>
      <w:pPr>
        <w:pStyle w:val="4"/>
        <w:widowControl/>
        <w:spacing w:before="0" w:beforeAutospacing="0" w:after="0" w:afterAutospacing="0" w:line="600" w:lineRule="exact"/>
        <w:ind w:firstLine="640" w:firstLineChars="200"/>
        <w:jc w:val="both"/>
        <w:outlineLvl w:val="1"/>
        <w:rPr>
          <w:rFonts w:ascii="Times New Roman" w:hAnsi="Times New Roman" w:eastAsia="仿宋_GB2312" w:cs="仿宋_GB2312"/>
          <w:color w:val="333333"/>
          <w:sz w:val="32"/>
          <w:szCs w:val="32"/>
        </w:rPr>
      </w:pPr>
    </w:p>
    <w:p>
      <w:pPr>
        <w:pStyle w:val="4"/>
        <w:widowControl/>
        <w:spacing w:before="0" w:beforeAutospacing="0" w:after="0" w:afterAutospacing="0"/>
        <w:jc w:val="both"/>
        <w:rPr>
          <w:rFonts w:ascii="Times New Roman" w:hAnsi="Times New Roman" w:eastAsia="仿宋_GB2312" w:cs="仿宋_GB2312"/>
          <w:color w:val="333333"/>
          <w:sz w:val="32"/>
          <w:szCs w:val="32"/>
        </w:rPr>
      </w:pPr>
    </w:p>
    <w:p>
      <w:pPr>
        <w:pStyle w:val="4"/>
        <w:widowControl/>
        <w:spacing w:before="0" w:beforeAutospacing="0" w:after="0" w:afterAutospacing="0"/>
        <w:jc w:val="both"/>
        <w:rPr>
          <w:rFonts w:ascii="Times New Roman" w:hAnsi="Times New Roman" w:eastAsia="仿宋_GB2312" w:cs="仿宋_GB2312"/>
          <w:color w:val="333333"/>
          <w:sz w:val="32"/>
          <w:szCs w:val="32"/>
        </w:rPr>
        <w:sectPr>
          <w:footerReference r:id="rId6" w:type="default"/>
          <w:pgSz w:w="11906" w:h="16838"/>
          <w:pgMar w:top="1440" w:right="1800" w:bottom="1440" w:left="1800" w:header="720" w:footer="720" w:gutter="0"/>
          <w:pgNumType w:fmt="numberInDash" w:start="2"/>
          <w:cols w:space="720" w:num="1"/>
          <w:docGrid w:type="lines" w:linePitch="312" w:charSpace="0"/>
        </w:sect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line="600" w:lineRule="exact"/>
        <w:jc w:val="center"/>
        <w:outlineLvl w:val="0"/>
        <w:rPr>
          <w:rFonts w:hint="eastAsia" w:ascii="Times New Roman" w:hAnsi="Times New Roman" w:eastAsia="方正小标宋简体" w:cs="方正小标宋简体"/>
          <w:sz w:val="52"/>
          <w:szCs w:val="52"/>
          <w:lang w:eastAsia="zh-CN" w:bidi="ar"/>
        </w:rPr>
      </w:pPr>
      <w:r>
        <w:rPr>
          <w:rFonts w:hint="eastAsia" w:ascii="Times New Roman" w:hAnsi="Times New Roman" w:eastAsia="方正小标宋简体" w:cs="方正小标宋简体"/>
          <w:sz w:val="52"/>
          <w:szCs w:val="52"/>
          <w:lang w:bidi="ar"/>
        </w:rPr>
        <w:t xml:space="preserve">第三部分 </w:t>
      </w:r>
      <w:r>
        <w:rPr>
          <w:rFonts w:hint="eastAsia" w:ascii="Times New Roman" w:hAnsi="Times New Roman" w:eastAsia="方正小标宋简体" w:cs="方正小标宋简体"/>
          <w:sz w:val="52"/>
          <w:szCs w:val="52"/>
          <w:lang w:val="en-US" w:eastAsia="zh-CN" w:bidi="ar"/>
        </w:rPr>
        <w:t>乐山市奥林匹克学校</w:t>
      </w:r>
    </w:p>
    <w:p>
      <w:pPr>
        <w:pStyle w:val="4"/>
        <w:widowControl/>
        <w:spacing w:before="0" w:beforeAutospacing="0" w:after="0" w:afterAutospacing="0" w:line="600" w:lineRule="exact"/>
        <w:jc w:val="center"/>
        <w:outlineLvl w:val="1"/>
        <w:rPr>
          <w:rFonts w:hint="eastAsia" w:ascii="Times New Roman" w:hAnsi="Times New Roman" w:eastAsia="方正小标宋简体" w:cs="方正小标宋简体"/>
          <w:sz w:val="52"/>
          <w:szCs w:val="52"/>
          <w:lang w:bidi="ar"/>
        </w:rPr>
      </w:pPr>
      <w:r>
        <w:rPr>
          <w:rFonts w:hint="eastAsia" w:ascii="Times New Roman" w:hAnsi="Times New Roman" w:eastAsia="方正小标宋简体" w:cs="方正小标宋简体"/>
          <w:sz w:val="52"/>
          <w:szCs w:val="52"/>
          <w:lang w:bidi="ar"/>
        </w:rPr>
        <w:t>202</w:t>
      </w:r>
      <w:r>
        <w:rPr>
          <w:rFonts w:hint="eastAsia" w:ascii="Times New Roman" w:hAnsi="Times New Roman" w:eastAsia="方正小标宋简体" w:cs="方正小标宋简体"/>
          <w:sz w:val="52"/>
          <w:szCs w:val="52"/>
          <w:lang w:val="en-US" w:eastAsia="zh-CN" w:bidi="ar"/>
        </w:rPr>
        <w:t>4</w:t>
      </w:r>
      <w:r>
        <w:rPr>
          <w:rFonts w:hint="eastAsia" w:ascii="Times New Roman" w:hAnsi="Times New Roman" w:eastAsia="方正小标宋简体" w:cs="方正小标宋简体"/>
          <w:sz w:val="52"/>
          <w:szCs w:val="52"/>
          <w:lang w:bidi="ar"/>
        </w:rPr>
        <w:t>年</w:t>
      </w:r>
      <w:r>
        <w:rPr>
          <w:rFonts w:hint="eastAsia" w:ascii="Times New Roman" w:hAnsi="Times New Roman" w:eastAsia="方正小标宋简体" w:cs="方正小标宋简体"/>
          <w:sz w:val="52"/>
          <w:szCs w:val="52"/>
          <w:lang w:eastAsia="zh-CN" w:bidi="ar"/>
        </w:rPr>
        <w:t>单位</w:t>
      </w:r>
      <w:r>
        <w:rPr>
          <w:rFonts w:hint="eastAsia" w:ascii="Times New Roman" w:hAnsi="Times New Roman" w:eastAsia="方正小标宋简体" w:cs="方正小标宋简体"/>
          <w:sz w:val="52"/>
          <w:szCs w:val="52"/>
          <w:lang w:bidi="ar"/>
        </w:rPr>
        <w:t>预算情况说明</w:t>
      </w:r>
    </w:p>
    <w:p>
      <w:pPr>
        <w:pStyle w:val="4"/>
        <w:widowControl/>
        <w:spacing w:before="0" w:beforeAutospacing="0" w:after="0" w:afterAutospacing="0" w:line="600" w:lineRule="exact"/>
        <w:ind w:firstLine="640" w:firstLineChars="200"/>
        <w:jc w:val="both"/>
        <w:rPr>
          <w:rFonts w:hint="eastAsia" w:ascii="Times New Roman" w:hAnsi="Times New Roman" w:eastAsia="黑体"/>
          <w:sz w:val="32"/>
          <w:szCs w:val="32"/>
        </w:rPr>
        <w:sectPr>
          <w:footerReference r:id="rId7" w:type="default"/>
          <w:pgSz w:w="11906" w:h="16838"/>
          <w:pgMar w:top="1440" w:right="1800" w:bottom="1440" w:left="1800" w:header="720" w:footer="720" w:gutter="0"/>
          <w:pgNumType w:fmt="numberInDash"/>
          <w:cols w:space="720" w:num="1"/>
          <w:docGrid w:type="lines" w:linePitch="312" w:charSpace="0"/>
        </w:sectPr>
      </w:pPr>
    </w:p>
    <w:p>
      <w:pPr>
        <w:pStyle w:val="4"/>
        <w:widowControl/>
        <w:spacing w:before="0" w:beforeAutospacing="0" w:after="0" w:afterAutospacing="0" w:line="600" w:lineRule="exact"/>
        <w:ind w:firstLine="640" w:firstLineChars="200"/>
        <w:jc w:val="both"/>
        <w:outlineLvl w:val="1"/>
        <w:rPr>
          <w:rFonts w:hint="eastAsia" w:ascii="Times New Roman" w:hAnsi="Times New Roman" w:eastAsia="黑体"/>
          <w:sz w:val="32"/>
          <w:szCs w:val="32"/>
        </w:rPr>
      </w:pPr>
      <w:r>
        <w:rPr>
          <w:rFonts w:hint="eastAsia" w:ascii="Times New Roman" w:hAnsi="Times New Roman" w:eastAsia="黑体"/>
          <w:sz w:val="32"/>
          <w:szCs w:val="32"/>
        </w:rPr>
        <w:t>一、收支预算情况说明</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（一）收入预算情况</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乐山市奥林匹克学校</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年收入预算</w:t>
      </w:r>
      <w:r>
        <w:rPr>
          <w:rFonts w:hint="eastAsia" w:ascii="Times New Roman" w:hAnsi="Times New Roman" w:eastAsia="仿宋_GB2312"/>
          <w:sz w:val="32"/>
          <w:szCs w:val="32"/>
          <w:lang w:val="en-US" w:eastAsia="zh-CN"/>
        </w:rPr>
        <w:t>684.5</w:t>
      </w:r>
      <w:r>
        <w:rPr>
          <w:rFonts w:hint="eastAsia" w:ascii="Times New Roman" w:hAnsi="Times New Roman" w:eastAsia="仿宋_GB2312"/>
          <w:sz w:val="32"/>
          <w:szCs w:val="32"/>
        </w:rPr>
        <w:t>万元一般公共预算拨款收入</w:t>
      </w:r>
      <w:r>
        <w:rPr>
          <w:rFonts w:hint="eastAsia" w:ascii="Times New Roman" w:hAnsi="Times New Roman" w:eastAsia="仿宋_GB2312"/>
          <w:sz w:val="32"/>
          <w:szCs w:val="32"/>
          <w:lang w:val="en-US" w:eastAsia="zh-CN"/>
        </w:rPr>
        <w:t>684.5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（二）支出预算情况</w:t>
      </w:r>
    </w:p>
    <w:p>
      <w:pPr>
        <w:spacing w:line="580" w:lineRule="exact"/>
        <w:ind w:firstLine="640" w:firstLineChars="200"/>
        <w:rPr>
          <w:rFonts w:hint="eastAsia" w:ascii="Times New Roman" w:hAnsi="Times New Roman" w:eastAsia="仿宋_GB2312"/>
          <w:sz w:val="32"/>
          <w:szCs w:val="32"/>
          <w:u w:val="single"/>
          <w:lang w:val="en-US" w:eastAsia="zh-CN"/>
        </w:rPr>
      </w:pPr>
      <w:r>
        <w:rPr>
          <w:rFonts w:hint="eastAsia" w:ascii="Times New Roman" w:hAnsi="Times New Roman" w:eastAsia="仿宋_GB2312"/>
          <w:sz w:val="32"/>
          <w:szCs w:val="32"/>
          <w:lang w:val="en-US" w:eastAsia="zh-CN"/>
        </w:rPr>
        <w:t>乐山市奥林匹克学校</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年支出预算</w:t>
      </w:r>
      <w:r>
        <w:rPr>
          <w:rFonts w:hint="eastAsia" w:ascii="Times New Roman" w:hAnsi="Times New Roman" w:eastAsia="仿宋_GB2312"/>
          <w:sz w:val="32"/>
          <w:szCs w:val="32"/>
          <w:lang w:val="en-US" w:eastAsia="zh-CN"/>
        </w:rPr>
        <w:t>684.5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646.7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94.48</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37.8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5.52%。</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二、财政拨款收支预算情况说明</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乐山市奥林匹克学校</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年财政拨款收支预算总数</w:t>
      </w:r>
      <w:r>
        <w:rPr>
          <w:rFonts w:hint="eastAsia" w:ascii="Times New Roman" w:hAnsi="Times New Roman" w:eastAsia="仿宋_GB2312"/>
          <w:sz w:val="32"/>
          <w:szCs w:val="32"/>
          <w:lang w:val="en-US" w:eastAsia="zh-CN"/>
        </w:rPr>
        <w:t>646.7</w:t>
      </w:r>
      <w:r>
        <w:rPr>
          <w:rFonts w:hint="eastAsia" w:ascii="Times New Roman" w:hAnsi="Times New Roman" w:eastAsia="仿宋_GB2312"/>
          <w:sz w:val="32"/>
          <w:szCs w:val="32"/>
        </w:rPr>
        <w:t>万元,比202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年财政拨款收支预算总数</w:t>
      </w:r>
      <w:r>
        <w:rPr>
          <w:rFonts w:hint="eastAsia" w:ascii="Times New Roman" w:hAnsi="Times New Roman" w:eastAsia="仿宋_GB2312"/>
          <w:sz w:val="32"/>
          <w:szCs w:val="32"/>
          <w:u w:val="single"/>
          <w:lang w:val="en-US" w:eastAsia="zh-CN"/>
        </w:rPr>
        <w:t>减少</w:t>
      </w:r>
      <w:r>
        <w:rPr>
          <w:rFonts w:hint="eastAsia" w:ascii="Times New Roman" w:hAnsi="Times New Roman" w:eastAsia="仿宋_GB2312"/>
          <w:sz w:val="32"/>
          <w:szCs w:val="32"/>
          <w:lang w:val="en-US" w:eastAsia="zh-CN"/>
        </w:rPr>
        <w:t>21.61</w:t>
      </w:r>
      <w:r>
        <w:rPr>
          <w:rFonts w:hint="eastAsia" w:ascii="Times New Roman" w:hAnsi="Times New Roman" w:eastAsia="仿宋_GB2312"/>
          <w:sz w:val="32"/>
          <w:szCs w:val="32"/>
        </w:rPr>
        <w:t>万元，主要原因是</w:t>
      </w:r>
      <w:r>
        <w:rPr>
          <w:rFonts w:hint="eastAsia" w:ascii="Times New Roman" w:hAnsi="Times New Roman" w:eastAsia="仿宋_GB2312"/>
          <w:sz w:val="32"/>
          <w:szCs w:val="32"/>
          <w:lang w:val="en-US" w:eastAsia="zh-CN"/>
        </w:rPr>
        <w:t>人员减少</w:t>
      </w:r>
      <w:r>
        <w:rPr>
          <w:rFonts w:hint="eastAsia" w:ascii="Times New Roman" w:hAnsi="Times New Roman" w:eastAsia="仿宋_GB2312"/>
          <w:sz w:val="32"/>
          <w:szCs w:val="32"/>
        </w:rPr>
        <w:t>。</w:t>
      </w:r>
    </w:p>
    <w:p>
      <w:pPr>
        <w:spacing w:line="580" w:lineRule="exact"/>
        <w:ind w:firstLine="640" w:firstLineChars="200"/>
        <w:rPr>
          <w:rFonts w:hint="eastAsia" w:ascii="Times New Roman" w:hAnsi="Times New Roman" w:eastAsia="仿宋_GB2312"/>
          <w:sz w:val="32"/>
          <w:szCs w:val="32"/>
        </w:rPr>
        <w:sectPr>
          <w:footerReference r:id="rId8" w:type="default"/>
          <w:pgSz w:w="11906" w:h="16838"/>
          <w:pgMar w:top="1440" w:right="1800" w:bottom="1440" w:left="1800" w:header="720" w:footer="720" w:gutter="0"/>
          <w:pgNumType w:fmt="numberInDash" w:start="3"/>
          <w:cols w:space="720" w:num="1"/>
          <w:docGrid w:type="lines" w:linePitch="312" w:charSpace="0"/>
        </w:sectPr>
      </w:pP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三、一般公共预算当年拨款情况说明</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（一）一般公共预算当年拨款规模变化情况</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乐山市奥林匹克学校</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年一般公共预算当年拨款</w:t>
      </w:r>
      <w:r>
        <w:rPr>
          <w:rFonts w:hint="eastAsia" w:ascii="Times New Roman" w:hAnsi="Times New Roman" w:eastAsia="仿宋_GB2312"/>
          <w:sz w:val="32"/>
          <w:szCs w:val="32"/>
          <w:lang w:val="en-US" w:eastAsia="zh-CN"/>
        </w:rPr>
        <w:t>684.5</w:t>
      </w:r>
      <w:r>
        <w:rPr>
          <w:rFonts w:hint="eastAsia" w:ascii="Times New Roman" w:hAnsi="Times New Roman" w:eastAsia="仿宋_GB2312"/>
          <w:sz w:val="32"/>
          <w:szCs w:val="32"/>
        </w:rPr>
        <w:t>万元，比202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年预算数</w:t>
      </w:r>
      <w:r>
        <w:rPr>
          <w:rFonts w:hint="eastAsia" w:ascii="Times New Roman" w:hAnsi="Times New Roman" w:eastAsia="仿宋_GB2312"/>
          <w:sz w:val="32"/>
          <w:szCs w:val="32"/>
          <w:u w:val="single"/>
        </w:rPr>
        <w:t>减少</w:t>
      </w:r>
      <w:r>
        <w:rPr>
          <w:rFonts w:hint="eastAsia" w:ascii="Times New Roman" w:hAnsi="Times New Roman" w:eastAsia="仿宋_GB2312"/>
          <w:sz w:val="32"/>
          <w:szCs w:val="32"/>
          <w:lang w:val="en-US" w:eastAsia="zh-CN"/>
        </w:rPr>
        <w:t>21.61</w:t>
      </w:r>
      <w:r>
        <w:rPr>
          <w:rFonts w:hint="eastAsia" w:ascii="Times New Roman" w:hAnsi="Times New Roman" w:eastAsia="仿宋_GB2312"/>
          <w:sz w:val="32"/>
          <w:szCs w:val="32"/>
        </w:rPr>
        <w:t>万元，主要原因是</w:t>
      </w:r>
      <w:r>
        <w:rPr>
          <w:rFonts w:hint="eastAsia" w:ascii="Times New Roman" w:hAnsi="Times New Roman" w:eastAsia="仿宋_GB2312"/>
          <w:sz w:val="32"/>
          <w:szCs w:val="32"/>
          <w:lang w:val="en-US" w:eastAsia="zh-CN"/>
        </w:rPr>
        <w:t>人员减少</w:t>
      </w:r>
      <w:r>
        <w:rPr>
          <w:rFonts w:hint="eastAsia" w:ascii="Times New Roman" w:hAnsi="Times New Roman" w:eastAsia="仿宋_GB2312"/>
          <w:sz w:val="32"/>
          <w:szCs w:val="32"/>
        </w:rPr>
        <w:t>。</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（二）一般公共预算当年拨款结构情况</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初中教育支出507.35万元占74</w:t>
      </w:r>
      <w:r>
        <w:rPr>
          <w:rFonts w:hint="eastAsia" w:ascii="Times New Roman" w:hAnsi="Times New Roman" w:eastAsia="仿宋_GB2312"/>
          <w:sz w:val="32"/>
          <w:szCs w:val="32"/>
        </w:rPr>
        <w:t>%；机关事业单位基本养老保险缴费支出</w:t>
      </w:r>
      <w:r>
        <w:rPr>
          <w:rFonts w:hint="eastAsia" w:ascii="Times New Roman" w:hAnsi="Times New Roman" w:eastAsia="仿宋_GB2312"/>
          <w:sz w:val="32"/>
          <w:szCs w:val="32"/>
          <w:lang w:val="en-US" w:eastAsia="zh-CN"/>
        </w:rPr>
        <w:t>64.48万元占9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；机关事业单位职业年金缴费支出</w:t>
      </w:r>
      <w:r>
        <w:rPr>
          <w:rFonts w:hint="eastAsia" w:ascii="Times New Roman" w:hAnsi="Times New Roman" w:eastAsia="仿宋_GB2312"/>
          <w:sz w:val="32"/>
          <w:szCs w:val="32"/>
          <w:lang w:val="en-US" w:eastAsia="zh-CN"/>
        </w:rPr>
        <w:t>32.24万元占5</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；其他社会保障和就业支出</w:t>
      </w:r>
      <w:r>
        <w:rPr>
          <w:rFonts w:hint="eastAsia" w:ascii="Times New Roman" w:hAnsi="Times New Roman" w:eastAsia="仿宋_GB2312"/>
          <w:sz w:val="32"/>
          <w:szCs w:val="32"/>
          <w:lang w:val="en-US" w:eastAsia="zh-CN"/>
        </w:rPr>
        <w:t>8.28万元占1</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；事业单位医疗</w:t>
      </w:r>
      <w:r>
        <w:rPr>
          <w:rFonts w:hint="eastAsia" w:ascii="Times New Roman" w:hAnsi="Times New Roman" w:eastAsia="仿宋_GB2312"/>
          <w:sz w:val="32"/>
          <w:szCs w:val="32"/>
          <w:lang w:val="en-US" w:eastAsia="zh-CN"/>
        </w:rPr>
        <w:t>20.6万元占3</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；住房公积金</w:t>
      </w:r>
      <w:r>
        <w:rPr>
          <w:rFonts w:hint="eastAsia" w:ascii="Times New Roman" w:hAnsi="Times New Roman" w:eastAsia="仿宋_GB2312"/>
          <w:sz w:val="32"/>
          <w:szCs w:val="32"/>
          <w:lang w:val="en-US" w:eastAsia="zh-CN"/>
        </w:rPr>
        <w:t>51.55万元占8</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（三）一般公共预算当年拨款具体使用情况</w:t>
      </w:r>
    </w:p>
    <w:p>
      <w:pPr>
        <w:pStyle w:val="12"/>
        <w:numPr>
          <w:ilvl w:val="2"/>
          <w:numId w:val="4"/>
        </w:numPr>
        <w:tabs>
          <w:tab w:val="left" w:pos="1163"/>
        </w:tabs>
        <w:spacing w:before="171" w:after="0" w:line="338" w:lineRule="auto"/>
        <w:ind w:left="280" w:right="277" w:firstLine="64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教育支出（类）普通教育（款）初中教育（项）2024 年预算数为507.35万元，主要用于：乐山市奥林匹克学校人员工资福利支出和日常公用经费支出。</w:t>
      </w:r>
    </w:p>
    <w:p>
      <w:pPr>
        <w:pStyle w:val="13"/>
        <w:rPr>
          <w:rFonts w:hint="eastAsia"/>
        </w:rPr>
      </w:pPr>
      <w:r>
        <w:rPr>
          <w:rFonts w:hint="eastAsia"/>
          <w:lang w:val="en-US" w:eastAsia="zh-CN"/>
        </w:rPr>
        <w:t>2</w:t>
      </w:r>
      <w:r>
        <w:rPr>
          <w:rFonts w:hint="eastAsia"/>
        </w:rPr>
        <w:t>.社会保障和就业（类）行政事业单位离退休（款）机关事业单位基本养老保险缴费支出（项）:202</w:t>
      </w:r>
      <w:r>
        <w:rPr>
          <w:rFonts w:hint="eastAsia"/>
          <w:lang w:val="en-US" w:eastAsia="zh-CN"/>
        </w:rPr>
        <w:t>4</w:t>
      </w:r>
      <w:r>
        <w:rPr>
          <w:rFonts w:hint="eastAsia"/>
        </w:rPr>
        <w:t>年预算数为</w:t>
      </w:r>
      <w:r>
        <w:rPr>
          <w:rFonts w:hint="eastAsia"/>
          <w:lang w:val="en-US" w:eastAsia="zh-CN"/>
        </w:rPr>
        <w:t>64.48</w:t>
      </w:r>
      <w:r>
        <w:rPr>
          <w:rFonts w:hint="eastAsia"/>
        </w:rPr>
        <w:t>万元，主要用于：实施养老保险制度后，</w:t>
      </w:r>
      <w:r>
        <w:rPr>
          <w:rFonts w:hint="eastAsia"/>
          <w:lang w:val="en-US" w:eastAsia="zh-CN"/>
        </w:rPr>
        <w:t>单位</w:t>
      </w:r>
      <w:r>
        <w:rPr>
          <w:rFonts w:hint="eastAsia"/>
        </w:rPr>
        <w:t>按规定由单位缴纳的基本养老保险费支出。</w:t>
      </w:r>
    </w:p>
    <w:p>
      <w:pPr>
        <w:pStyle w:val="13"/>
        <w:rPr>
          <w:rFonts w:hint="eastAsia"/>
        </w:rPr>
      </w:pPr>
      <w:r>
        <w:rPr>
          <w:rFonts w:hint="eastAsia"/>
          <w:lang w:val="en-US" w:eastAsia="zh-CN"/>
        </w:rPr>
        <w:t>3</w:t>
      </w:r>
      <w:r>
        <w:rPr>
          <w:rFonts w:hint="eastAsia"/>
        </w:rPr>
        <w:t>.社会保障和就业（类）行政事业单位离退休（款）机关事业单位职业年金缴费支出（项）:202</w:t>
      </w:r>
      <w:r>
        <w:rPr>
          <w:rFonts w:hint="eastAsia"/>
          <w:lang w:val="en-US" w:eastAsia="zh-CN"/>
        </w:rPr>
        <w:t>4</w:t>
      </w:r>
      <w:r>
        <w:rPr>
          <w:rFonts w:hint="eastAsia"/>
        </w:rPr>
        <w:t>年预算数为</w:t>
      </w:r>
      <w:r>
        <w:rPr>
          <w:rFonts w:hint="eastAsia"/>
          <w:lang w:val="en-US" w:eastAsia="zh-CN"/>
        </w:rPr>
        <w:t>32.24</w:t>
      </w:r>
      <w:r>
        <w:rPr>
          <w:rFonts w:hint="eastAsia"/>
        </w:rPr>
        <w:t>万元，主要用于：实施养老保险制度后，</w:t>
      </w:r>
      <w:r>
        <w:rPr>
          <w:rFonts w:hint="eastAsia"/>
          <w:lang w:val="en-US" w:eastAsia="zh-CN"/>
        </w:rPr>
        <w:t>单位</w:t>
      </w:r>
      <w:r>
        <w:rPr>
          <w:rFonts w:hint="eastAsia"/>
        </w:rPr>
        <w:t>按规定由单位缴纳的职业年金支出。</w:t>
      </w:r>
    </w:p>
    <w:p>
      <w:pPr>
        <w:pStyle w:val="13"/>
        <w:rPr>
          <w:rFonts w:hint="eastAsia"/>
        </w:rPr>
      </w:pPr>
      <w:r>
        <w:rPr>
          <w:rFonts w:hint="eastAsia"/>
          <w:lang w:val="en-US" w:eastAsia="zh-CN"/>
        </w:rPr>
        <w:t>4</w:t>
      </w:r>
      <w:r>
        <w:rPr>
          <w:rFonts w:hint="eastAsia"/>
        </w:rPr>
        <w:t>.医疗卫生与计划生育（类）行政事业单位医疗（款）事业单位医疗（项）:202</w:t>
      </w:r>
      <w:r>
        <w:rPr>
          <w:rFonts w:hint="eastAsia"/>
          <w:lang w:val="en-US" w:eastAsia="zh-CN"/>
        </w:rPr>
        <w:t>4</w:t>
      </w:r>
      <w:r>
        <w:rPr>
          <w:rFonts w:hint="eastAsia"/>
        </w:rPr>
        <w:t>年预算数为</w:t>
      </w:r>
      <w:r>
        <w:rPr>
          <w:rFonts w:hint="eastAsia"/>
          <w:lang w:val="en-US" w:eastAsia="zh-CN"/>
        </w:rPr>
        <w:t>20.6</w:t>
      </w:r>
      <w:r>
        <w:rPr>
          <w:rFonts w:hint="eastAsia"/>
        </w:rPr>
        <w:t>万元，主要用于：单位基本医疗保险缴费支出。</w:t>
      </w:r>
    </w:p>
    <w:p>
      <w:pPr>
        <w:pStyle w:val="13"/>
      </w:pPr>
      <w:r>
        <w:rPr>
          <w:rFonts w:hint="eastAsia"/>
          <w:lang w:val="en-US" w:eastAsia="zh-CN"/>
        </w:rPr>
        <w:t>5</w:t>
      </w:r>
      <w:r>
        <w:rPr>
          <w:rFonts w:hint="eastAsia"/>
        </w:rPr>
        <w:t>.住房保障（类）住房改革支出（款）住房公积金（项）:202</w:t>
      </w:r>
      <w:r>
        <w:rPr>
          <w:rFonts w:hint="eastAsia"/>
          <w:lang w:val="en-US" w:eastAsia="zh-CN"/>
        </w:rPr>
        <w:t>4</w:t>
      </w:r>
      <w:r>
        <w:rPr>
          <w:rFonts w:hint="eastAsia"/>
        </w:rPr>
        <w:t>年预算数为</w:t>
      </w:r>
      <w:r>
        <w:rPr>
          <w:rFonts w:hint="eastAsia"/>
          <w:lang w:val="en-US" w:eastAsia="zh-CN"/>
        </w:rPr>
        <w:t>51.55</w:t>
      </w:r>
      <w:r>
        <w:rPr>
          <w:rFonts w:hint="eastAsia"/>
        </w:rPr>
        <w:t>万元，主要用于：</w:t>
      </w:r>
      <w:r>
        <w:rPr>
          <w:rFonts w:hint="eastAsia"/>
          <w:lang w:val="en-US" w:eastAsia="zh-CN"/>
        </w:rPr>
        <w:t>单位</w:t>
      </w:r>
      <w:r>
        <w:rPr>
          <w:rFonts w:hint="eastAsia"/>
        </w:rPr>
        <w:t>按人力资源和社会保障部、财政部规定的基本工资和津贴补贴以及规定比例为职工缴纳的住房公积金支出。</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四、一般公共预算基本支出情况说明</w:t>
      </w:r>
    </w:p>
    <w:p>
      <w:pPr>
        <w:pStyle w:val="13"/>
        <w:rPr>
          <w:rFonts w:hint="eastAsia"/>
        </w:rPr>
      </w:pPr>
      <w:r>
        <w:rPr>
          <w:rFonts w:hint="eastAsia"/>
          <w:lang w:val="en-US" w:eastAsia="zh-CN"/>
        </w:rPr>
        <w:t>乐山市奥林匹克学校</w:t>
      </w:r>
      <w:r>
        <w:rPr>
          <w:rFonts w:hint="eastAsia"/>
        </w:rPr>
        <w:t>202</w:t>
      </w:r>
      <w:r>
        <w:rPr>
          <w:rFonts w:hint="eastAsia"/>
          <w:lang w:val="en-US" w:eastAsia="zh-CN"/>
        </w:rPr>
        <w:t>4</w:t>
      </w:r>
      <w:r>
        <w:rPr>
          <w:rFonts w:hint="eastAsia"/>
        </w:rPr>
        <w:t>年一般公共预算基本支出</w:t>
      </w:r>
      <w:r>
        <w:rPr>
          <w:rFonts w:hint="eastAsia"/>
          <w:lang w:val="en-US" w:eastAsia="zh-CN"/>
        </w:rPr>
        <w:t>646.7</w:t>
      </w:r>
      <w:r>
        <w:rPr>
          <w:rFonts w:hint="eastAsia"/>
        </w:rPr>
        <w:t>万元，其中：</w:t>
      </w:r>
    </w:p>
    <w:p>
      <w:pPr>
        <w:pStyle w:val="13"/>
        <w:rPr>
          <w:rFonts w:hint="eastAsia"/>
        </w:rPr>
      </w:pPr>
      <w:r>
        <w:rPr>
          <w:rFonts w:hint="eastAsia"/>
        </w:rPr>
        <w:t>人员经费</w:t>
      </w:r>
      <w:r>
        <w:rPr>
          <w:rFonts w:hint="eastAsia"/>
          <w:lang w:val="en-US" w:eastAsia="zh-CN"/>
        </w:rPr>
        <w:t>580.17</w:t>
      </w:r>
      <w:r>
        <w:rPr>
          <w:rFonts w:hint="eastAsia"/>
        </w:rPr>
        <w:t>万元，主要包括：基本工资、津贴补贴、奖金、社会保险缴费、绩效工资、机关事业单位基本养老保险缴费、职业年金缴费、其他工资福利支出、离休费、住房公积金、其他对个人和家庭的补助支出。</w:t>
      </w:r>
    </w:p>
    <w:p>
      <w:pPr>
        <w:spacing w:line="580" w:lineRule="exact"/>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公用经费</w:t>
      </w:r>
      <w:r>
        <w:rPr>
          <w:rFonts w:hint="eastAsia" w:ascii="仿宋_GB2312" w:eastAsia="仿宋_GB2312" w:cs="Times New Roman"/>
          <w:kern w:val="2"/>
          <w:sz w:val="32"/>
          <w:szCs w:val="32"/>
          <w:lang w:val="en-US" w:eastAsia="zh-CN" w:bidi="ar-SA"/>
        </w:rPr>
        <w:t>66.53</w:t>
      </w:r>
      <w:r>
        <w:rPr>
          <w:rFonts w:hint="eastAsia" w:ascii="仿宋_GB2312" w:hAnsi="Calibri" w:eastAsia="仿宋_GB2312" w:cs="Times New Roman"/>
          <w:kern w:val="2"/>
          <w:sz w:val="32"/>
          <w:szCs w:val="32"/>
          <w:lang w:val="en-US" w:eastAsia="zh-CN" w:bidi="ar-SA"/>
        </w:rPr>
        <w:t>万元，主要包括：办公费、印刷费、手续费、水费、电费、邮电费、差旅费、维修（护）费、会议费、培训费、劳务费、工会经费、福利费、其他交通费、其他商品和服务支出。</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五、“三公”经费财政拨款预算安排情况说明</w:t>
      </w:r>
    </w:p>
    <w:p>
      <w:pPr>
        <w:pStyle w:val="13"/>
        <w:rPr>
          <w:rFonts w:hint="eastAsia"/>
        </w:rPr>
      </w:pPr>
      <w:r>
        <w:rPr>
          <w:rFonts w:hint="eastAsia"/>
          <w:lang w:val="en-US" w:eastAsia="zh-CN"/>
        </w:rPr>
        <w:t>乐山市奥林匹克学校</w:t>
      </w:r>
      <w:r>
        <w:rPr>
          <w:rFonts w:hint="eastAsia"/>
        </w:rPr>
        <w:t>202</w:t>
      </w:r>
      <w:r>
        <w:rPr>
          <w:rFonts w:hint="eastAsia"/>
          <w:lang w:val="en-US" w:eastAsia="zh-CN"/>
        </w:rPr>
        <w:t>4</w:t>
      </w:r>
      <w:r>
        <w:rPr>
          <w:rFonts w:hint="eastAsia"/>
        </w:rPr>
        <w:t>年“三公”经费预算数</w:t>
      </w:r>
      <w:r>
        <w:rPr>
          <w:rFonts w:hint="eastAsia"/>
          <w:lang w:val="en-US" w:eastAsia="zh-CN"/>
        </w:rPr>
        <w:t>3</w:t>
      </w:r>
      <w:r>
        <w:rPr>
          <w:rFonts w:hint="eastAsia"/>
        </w:rPr>
        <w:t>万元。其中财政拨款安排“三公”经费</w:t>
      </w:r>
      <w:r>
        <w:rPr>
          <w:rFonts w:hint="eastAsia"/>
          <w:lang w:val="en-US" w:eastAsia="zh-CN"/>
        </w:rPr>
        <w:t>3</w:t>
      </w:r>
      <w:r>
        <w:rPr>
          <w:rFonts w:hint="eastAsia"/>
        </w:rPr>
        <w:t>万元。公务用车购置及运行维护费</w:t>
      </w:r>
      <w:r>
        <w:rPr>
          <w:rFonts w:hint="eastAsia"/>
          <w:lang w:val="en-US" w:eastAsia="zh-CN"/>
        </w:rPr>
        <w:t>3</w:t>
      </w:r>
      <w:r>
        <w:rPr>
          <w:rFonts w:hint="eastAsia"/>
        </w:rPr>
        <w:t>万元。</w:t>
      </w:r>
    </w:p>
    <w:p>
      <w:pPr>
        <w:pStyle w:val="13"/>
      </w:pPr>
      <w:r>
        <w:rPr>
          <w:rFonts w:hint="eastAsia"/>
        </w:rPr>
        <w:t>公务用车购置及运行维护费较上年预算持平。</w:t>
      </w:r>
    </w:p>
    <w:p>
      <w:pPr>
        <w:pStyle w:val="13"/>
        <w:rPr>
          <w:rFonts w:hint="eastAsia"/>
        </w:rPr>
      </w:pPr>
      <w:r>
        <w:rPr>
          <w:rFonts w:hint="eastAsia"/>
        </w:rPr>
        <w:t>单位现有公务用车</w:t>
      </w:r>
      <w:r>
        <w:rPr>
          <w:rFonts w:hint="eastAsia"/>
          <w:lang w:val="en-US" w:eastAsia="zh-CN"/>
        </w:rPr>
        <w:t>1</w:t>
      </w:r>
      <w:r>
        <w:rPr>
          <w:rFonts w:hint="eastAsia"/>
        </w:rPr>
        <w:t>辆，其中：</w:t>
      </w:r>
      <w:r>
        <w:rPr>
          <w:rFonts w:hint="eastAsia"/>
          <w:lang w:val="en-US" w:eastAsia="zh-CN"/>
        </w:rPr>
        <w:t>特种专业技术用车1辆</w:t>
      </w:r>
      <w:r>
        <w:rPr>
          <w:rFonts w:hint="eastAsia"/>
        </w:rPr>
        <w:t>。</w:t>
      </w:r>
    </w:p>
    <w:p>
      <w:pPr>
        <w:pStyle w:val="13"/>
        <w:rPr>
          <w:rFonts w:hint="eastAsia"/>
        </w:rPr>
      </w:pPr>
      <w:r>
        <w:rPr>
          <w:rFonts w:hint="eastAsia"/>
        </w:rPr>
        <w:t>202</w:t>
      </w:r>
      <w:r>
        <w:rPr>
          <w:rFonts w:hint="eastAsia"/>
          <w:lang w:val="en-US" w:eastAsia="zh-CN"/>
        </w:rPr>
        <w:t>4</w:t>
      </w:r>
      <w:r>
        <w:rPr>
          <w:rFonts w:hint="eastAsia"/>
        </w:rPr>
        <w:t>年安排公务用车运行维护费</w:t>
      </w:r>
      <w:r>
        <w:rPr>
          <w:rFonts w:hint="eastAsia"/>
          <w:lang w:val="en-US" w:eastAsia="zh-CN"/>
        </w:rPr>
        <w:t>3</w:t>
      </w:r>
      <w:r>
        <w:rPr>
          <w:rFonts w:hint="eastAsia"/>
        </w:rPr>
        <w:t>万元，用于</w:t>
      </w:r>
      <w:r>
        <w:rPr>
          <w:rFonts w:hint="eastAsia"/>
          <w:lang w:val="en-US" w:eastAsia="zh-CN"/>
        </w:rPr>
        <w:t>车辆保险、加油及维修保养支出</w:t>
      </w:r>
      <w:r>
        <w:rPr>
          <w:rFonts w:hint="eastAsia"/>
        </w:rPr>
        <w:t>。</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六、政府性基金预算支出情况说明</w:t>
      </w:r>
    </w:p>
    <w:p>
      <w:pPr>
        <w:pStyle w:val="13"/>
        <w:ind w:left="0" w:leftChars="0" w:firstLine="640" w:firstLineChars="200"/>
        <w:rPr>
          <w:rFonts w:hint="eastAsia"/>
        </w:rPr>
      </w:pPr>
      <w:r>
        <w:rPr>
          <w:rFonts w:hint="eastAsia"/>
        </w:rPr>
        <w:t>202</w:t>
      </w:r>
      <w:r>
        <w:rPr>
          <w:rFonts w:hint="eastAsia"/>
          <w:lang w:val="en-US" w:eastAsia="zh-CN"/>
        </w:rPr>
        <w:t>4</w:t>
      </w:r>
      <w:r>
        <w:rPr>
          <w:rFonts w:hint="eastAsia"/>
        </w:rPr>
        <w:t>年，</w:t>
      </w:r>
      <w:r>
        <w:rPr>
          <w:rFonts w:hint="eastAsia"/>
          <w:lang w:val="en-US" w:eastAsia="zh-CN"/>
        </w:rPr>
        <w:t>乐山市奥林匹克学校</w:t>
      </w:r>
      <w:r>
        <w:rPr>
          <w:rFonts w:hint="eastAsia"/>
        </w:rPr>
        <w:t>没有政府性基金预算支出。</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七、国有资本经营预算情况说明</w:t>
      </w:r>
    </w:p>
    <w:p>
      <w:pPr>
        <w:spacing w:line="580" w:lineRule="exact"/>
        <w:ind w:firstLine="640" w:firstLineChars="200"/>
        <w:rPr>
          <w:rFonts w:hint="eastAsia" w:ascii="Times New Roman" w:hAnsi="Times New Roman" w:eastAsia="仿宋_GB2312"/>
          <w:sz w:val="32"/>
          <w:szCs w:val="32"/>
          <w:u w:val="single"/>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年没有使用国有资本经营预算拨款安排的支出。</w:t>
      </w:r>
    </w:p>
    <w:p>
      <w:pPr>
        <w:spacing w:line="580" w:lineRule="exact"/>
        <w:ind w:firstLine="640" w:firstLineChars="200"/>
        <w:outlineLvl w:val="1"/>
        <w:rPr>
          <w:rFonts w:hint="eastAsia" w:ascii="Times New Roman" w:hAnsi="Times New Roman" w:eastAsia="黑体"/>
          <w:sz w:val="32"/>
          <w:szCs w:val="32"/>
        </w:rPr>
      </w:pPr>
      <w:r>
        <w:rPr>
          <w:rFonts w:hint="eastAsia" w:ascii="Times New Roman" w:hAnsi="Times New Roman" w:eastAsia="黑体"/>
          <w:sz w:val="32"/>
          <w:szCs w:val="32"/>
        </w:rPr>
        <w:t>八、其他重要事项的情况说明</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（一）机关运行经费情况</w:t>
      </w:r>
    </w:p>
    <w:p>
      <w:pPr>
        <w:spacing w:line="580" w:lineRule="exact"/>
        <w:ind w:firstLine="640"/>
        <w:rPr>
          <w:rFonts w:hint="eastAsia" w:ascii="Times New Roman" w:hAnsi="Times New Roman" w:eastAsia="仿宋_GB2312"/>
          <w:sz w:val="32"/>
          <w:szCs w:val="32"/>
          <w:u w:val="single"/>
        </w:rPr>
      </w:pPr>
      <w:r>
        <w:rPr>
          <w:rFonts w:hint="eastAsia" w:ascii="Times New Roman" w:hAnsi="Times New Roman" w:eastAsia="仿宋_GB2312"/>
          <w:sz w:val="32"/>
          <w:szCs w:val="32"/>
          <w:lang w:val="en-US" w:eastAsia="zh-CN"/>
        </w:rPr>
        <w:t>我校为事业单位，无在编人员</w:t>
      </w:r>
      <w:r>
        <w:rPr>
          <w:rFonts w:hint="eastAsia" w:ascii="Times New Roman" w:hAnsi="Times New Roman" w:eastAsia="仿宋_GB2312"/>
          <w:sz w:val="32"/>
          <w:szCs w:val="32"/>
        </w:rPr>
        <w:t>。</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w:t>
      </w:r>
      <w:r>
        <w:rPr>
          <w:rFonts w:hint="eastAsia" w:ascii="Times New Roman" w:hAnsi="Times New Roman" w:eastAsia="楷体_GB2312"/>
          <w:b/>
          <w:sz w:val="32"/>
          <w:szCs w:val="32"/>
          <w:lang w:val="en-US" w:eastAsia="zh-CN"/>
        </w:rPr>
        <w:t>二</w:t>
      </w:r>
      <w:r>
        <w:rPr>
          <w:rFonts w:hint="eastAsia" w:ascii="Times New Roman" w:hAnsi="Times New Roman" w:eastAsia="楷体_GB2312"/>
          <w:b/>
          <w:sz w:val="32"/>
          <w:szCs w:val="32"/>
        </w:rPr>
        <w:t>）国有资产占有使用情况</w:t>
      </w:r>
    </w:p>
    <w:p>
      <w:pPr>
        <w:pStyle w:val="13"/>
        <w:rPr>
          <w:rFonts w:hint="eastAsia"/>
        </w:rPr>
      </w:pPr>
      <w:r>
        <w:rPr>
          <w:rFonts w:hint="eastAsia"/>
        </w:rPr>
        <w:t>截至</w:t>
      </w:r>
      <w:r>
        <w:rPr>
          <w:rFonts w:hint="eastAsia"/>
          <w:lang w:val="en-US" w:eastAsia="zh-CN"/>
        </w:rPr>
        <w:t>2024年</w:t>
      </w:r>
      <w:r>
        <w:rPr>
          <w:rFonts w:hint="eastAsia"/>
        </w:rPr>
        <w:t>，</w:t>
      </w:r>
      <w:r>
        <w:rPr>
          <w:rFonts w:hint="eastAsia"/>
          <w:lang w:val="en-US" w:eastAsia="zh-CN"/>
        </w:rPr>
        <w:t>乐山市奥林匹克学校</w:t>
      </w:r>
      <w:r>
        <w:rPr>
          <w:rFonts w:hint="eastAsia"/>
        </w:rPr>
        <w:t>共有车辆</w:t>
      </w:r>
      <w:r>
        <w:rPr>
          <w:rFonts w:hint="eastAsia"/>
          <w:lang w:val="en-US" w:eastAsia="zh-CN"/>
        </w:rPr>
        <w:t>1</w:t>
      </w:r>
      <w:r>
        <w:rPr>
          <w:rFonts w:hint="eastAsia"/>
        </w:rPr>
        <w:t>辆。单位价值200万元以上大型设备</w:t>
      </w:r>
      <w:r>
        <w:rPr>
          <w:rFonts w:hint="eastAsia"/>
          <w:lang w:val="en-US" w:eastAsia="zh-CN"/>
        </w:rPr>
        <w:t>0</w:t>
      </w:r>
      <w:r>
        <w:rPr>
          <w:rFonts w:hint="eastAsia"/>
        </w:rPr>
        <w:t>台（套）。</w:t>
      </w:r>
    </w:p>
    <w:p>
      <w:pPr>
        <w:spacing w:line="58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hint="eastAsia" w:ascii="Times New Roman" w:hAnsi="Times New Roman" w:eastAsia="仿宋_GB2312"/>
          <w:sz w:val="32"/>
          <w:szCs w:val="32"/>
        </w:rPr>
        <w:t>年</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预算未安排购置车辆及单位价值200万元以上大型设备。</w:t>
      </w:r>
    </w:p>
    <w:p>
      <w:pPr>
        <w:spacing w:line="580" w:lineRule="exact"/>
        <w:ind w:firstLine="643" w:firstLineChars="200"/>
        <w:outlineLvl w:val="2"/>
        <w:rPr>
          <w:rFonts w:hint="eastAsia" w:ascii="Times New Roman" w:hAnsi="Times New Roman" w:eastAsia="楷体_GB2312"/>
          <w:b/>
          <w:sz w:val="32"/>
          <w:szCs w:val="32"/>
        </w:rPr>
      </w:pPr>
      <w:r>
        <w:rPr>
          <w:rFonts w:hint="eastAsia" w:ascii="Times New Roman" w:hAnsi="Times New Roman" w:eastAsia="楷体_GB2312"/>
          <w:b/>
          <w:sz w:val="32"/>
          <w:szCs w:val="32"/>
        </w:rPr>
        <w:t>（四）预算绩效情况</w:t>
      </w:r>
    </w:p>
    <w:p>
      <w:pPr>
        <w:spacing w:line="578" w:lineRule="exact"/>
        <w:ind w:firstLine="640"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年</w:t>
      </w:r>
      <w:r>
        <w:rPr>
          <w:rFonts w:hint="eastAsia" w:ascii="Times New Roman" w:hAnsi="Times New Roman" w:eastAsia="仿宋_GB2312" w:cs="仿宋_GB2312"/>
          <w:sz w:val="32"/>
          <w:szCs w:val="32"/>
          <w:lang w:val="en-US" w:eastAsia="zh-CN"/>
        </w:rPr>
        <w:t>乐山市奥林匹克学校</w:t>
      </w:r>
      <w:r>
        <w:rPr>
          <w:rFonts w:hint="eastAsia" w:ascii="Times New Roman" w:hAnsi="Times New Roman" w:eastAsia="仿宋_GB2312" w:cs="仿宋_GB2312"/>
          <w:sz w:val="32"/>
          <w:szCs w:val="32"/>
        </w:rPr>
        <w:t>开展绩效目标管理的项目</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个，涉及预算</w:t>
      </w:r>
      <w:r>
        <w:rPr>
          <w:rFonts w:hint="eastAsia" w:ascii="Times New Roman" w:hAnsi="Times New Roman" w:eastAsia="仿宋_GB2312" w:cs="仿宋_GB2312"/>
          <w:sz w:val="32"/>
          <w:szCs w:val="32"/>
          <w:lang w:val="en-US" w:eastAsia="zh-CN"/>
        </w:rPr>
        <w:t>37.8</w:t>
      </w:r>
      <w:r>
        <w:rPr>
          <w:rFonts w:hint="eastAsia" w:ascii="Times New Roman" w:hAnsi="Times New Roman" w:eastAsia="仿宋_GB2312" w:cs="仿宋_GB2312"/>
          <w:sz w:val="32"/>
          <w:szCs w:val="32"/>
        </w:rPr>
        <w:t>万元。其中：特定目标类项目</w:t>
      </w: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rPr>
        <w:t>个，涉及预算</w:t>
      </w:r>
      <w:r>
        <w:rPr>
          <w:rFonts w:hint="eastAsia" w:ascii="Times New Roman" w:hAnsi="Times New Roman" w:eastAsia="仿宋_GB2312" w:cs="仿宋_GB2312"/>
          <w:sz w:val="32"/>
          <w:szCs w:val="32"/>
          <w:lang w:val="en-US" w:eastAsia="zh-CN"/>
        </w:rPr>
        <w:t>37.8</w:t>
      </w:r>
      <w:r>
        <w:rPr>
          <w:rFonts w:hint="eastAsia" w:ascii="Times New Roman" w:hAnsi="Times New Roman" w:eastAsia="仿宋_GB2312" w:cs="仿宋_GB2312"/>
          <w:sz w:val="32"/>
          <w:szCs w:val="32"/>
        </w:rPr>
        <w:t>万元。</w:t>
      </w: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ind w:firstLine="640" w:firstLineChars="200"/>
        <w:jc w:val="both"/>
        <w:rPr>
          <w:rFonts w:hint="eastAsia" w:ascii="Times New Roman" w:hAnsi="Times New Roman" w:eastAsia="仿宋_GB2312" w:cs="仿宋_GB2312"/>
          <w:color w:val="333333"/>
          <w:sz w:val="32"/>
          <w:szCs w:val="32"/>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pStyle w:val="4"/>
        <w:widowControl/>
        <w:spacing w:before="0" w:beforeAutospacing="0" w:after="0" w:afterAutospacing="0"/>
        <w:jc w:val="center"/>
        <w:rPr>
          <w:rFonts w:hint="eastAsia" w:ascii="Times New Roman" w:hAnsi="Times New Roman" w:eastAsia="方正小标宋简体" w:cs="方正小标宋简体"/>
          <w:sz w:val="52"/>
          <w:szCs w:val="52"/>
          <w:lang w:bidi="ar"/>
        </w:rPr>
      </w:pPr>
    </w:p>
    <w:p>
      <w:pPr>
        <w:jc w:val="center"/>
        <w:outlineLvl w:val="0"/>
        <w:rPr>
          <w:rFonts w:hint="eastAsia" w:ascii="Times New Roman" w:hAnsi="Times New Roman" w:eastAsia="方正小标宋简体" w:cs="方正小标宋简体"/>
          <w:kern w:val="0"/>
          <w:sz w:val="52"/>
          <w:szCs w:val="52"/>
          <w:lang w:bidi="ar"/>
        </w:rPr>
      </w:pPr>
    </w:p>
    <w:p>
      <w:pPr>
        <w:jc w:val="center"/>
        <w:outlineLvl w:val="0"/>
        <w:rPr>
          <w:rFonts w:hint="eastAsia" w:ascii="Times New Roman" w:hAnsi="Times New Roman" w:eastAsia="方正小标宋简体" w:cs="方正小标宋简体"/>
          <w:kern w:val="0"/>
          <w:sz w:val="52"/>
          <w:szCs w:val="52"/>
          <w:lang w:bidi="ar"/>
        </w:rPr>
      </w:pPr>
    </w:p>
    <w:p>
      <w:pPr>
        <w:jc w:val="center"/>
        <w:outlineLvl w:val="0"/>
        <w:rPr>
          <w:rFonts w:hint="eastAsia" w:ascii="Times New Roman" w:hAnsi="Times New Roman" w:eastAsia="方正小标宋简体" w:cs="方正小标宋简体"/>
          <w:kern w:val="0"/>
          <w:sz w:val="52"/>
          <w:szCs w:val="52"/>
          <w:lang w:bidi="ar"/>
        </w:rPr>
      </w:pPr>
    </w:p>
    <w:p>
      <w:pPr>
        <w:jc w:val="center"/>
        <w:outlineLvl w:val="0"/>
        <w:rPr>
          <w:rFonts w:hint="eastAsia" w:ascii="Times New Roman" w:hAnsi="Times New Roman" w:eastAsia="方正小标宋简体" w:cs="方正小标宋简体"/>
          <w:kern w:val="0"/>
          <w:sz w:val="52"/>
          <w:szCs w:val="52"/>
          <w:lang w:bidi="ar"/>
        </w:rPr>
      </w:pPr>
    </w:p>
    <w:p>
      <w:pPr>
        <w:jc w:val="center"/>
        <w:outlineLvl w:val="0"/>
        <w:rPr>
          <w:rFonts w:hint="eastAsia" w:ascii="Times New Roman" w:hAnsi="Times New Roman" w:eastAsia="方正小标宋简体" w:cs="方正小标宋简体"/>
          <w:kern w:val="0"/>
          <w:sz w:val="52"/>
          <w:szCs w:val="52"/>
          <w:lang w:bidi="ar"/>
        </w:rPr>
      </w:pPr>
    </w:p>
    <w:p>
      <w:pPr>
        <w:jc w:val="center"/>
        <w:outlineLvl w:val="0"/>
        <w:rPr>
          <w:rFonts w:ascii="Times New Roman" w:hAnsi="Times New Roman" w:eastAsia="方正小标宋简体" w:cs="方正小标宋简体"/>
          <w:kern w:val="0"/>
          <w:sz w:val="52"/>
          <w:szCs w:val="52"/>
          <w:lang w:bidi="ar"/>
        </w:rPr>
      </w:pPr>
      <w:r>
        <w:rPr>
          <w:rFonts w:hint="eastAsia" w:ascii="Times New Roman" w:hAnsi="Times New Roman" w:eastAsia="方正小标宋简体" w:cs="方正小标宋简体"/>
          <w:kern w:val="0"/>
          <w:sz w:val="52"/>
          <w:szCs w:val="52"/>
          <w:lang w:bidi="ar"/>
        </w:rPr>
        <w:t xml:space="preserve">第四部分  </w:t>
      </w:r>
      <w:r>
        <w:rPr>
          <w:rFonts w:ascii="Times New Roman" w:hAnsi="Times New Roman" w:eastAsia="方正小标宋简体" w:cs="方正小标宋简体"/>
          <w:kern w:val="0"/>
          <w:sz w:val="52"/>
          <w:szCs w:val="52"/>
          <w:lang w:bidi="ar"/>
        </w:rPr>
        <w:t>名词解释</w:t>
      </w:r>
    </w:p>
    <w:p>
      <w:pPr>
        <w:ind w:firstLine="640" w:firstLineChars="200"/>
        <w:rPr>
          <w:rFonts w:ascii="Times New Roman" w:hAnsi="Times New Roman" w:eastAsia="仿宋_GB2312"/>
          <w:sz w:val="32"/>
          <w:szCs w:val="32"/>
        </w:rPr>
        <w:sectPr>
          <w:footerReference r:id="rId9" w:type="default"/>
          <w:pgSz w:w="11906" w:h="16838"/>
          <w:pgMar w:top="1440" w:right="1800" w:bottom="1440" w:left="1800" w:header="720" w:footer="720" w:gutter="0"/>
          <w:pgNumType w:fmt="numberInDash"/>
          <w:cols w:space="720" w:num="1"/>
          <w:docGrid w:type="lines" w:linePitch="312" w:charSpace="0"/>
        </w:sectPr>
      </w:pPr>
    </w:p>
    <w:p>
      <w:pPr>
        <w:pStyle w:val="8"/>
        <w:ind w:left="210" w:right="210" w:firstLine="635"/>
        <w:rPr>
          <w:rFonts w:hint="eastAsia" w:ascii="Times New Roman" w:hAnsi="Times New Roman" w:eastAsia="仿宋_GB2312"/>
        </w:rPr>
      </w:pPr>
      <w:r>
        <w:rPr>
          <w:rFonts w:hint="eastAsia"/>
        </w:rPr>
        <w:t>财政拨款收支情况：</w:t>
      </w:r>
      <w:r>
        <w:rPr>
          <w:rFonts w:ascii="Times New Roman" w:hAnsi="Times New Roman" w:eastAsia="仿宋_GB2312"/>
        </w:rPr>
        <w:t>指</w:t>
      </w:r>
      <w:r>
        <w:rPr>
          <w:rFonts w:hint="eastAsia" w:ascii="Times New Roman" w:hAnsi="Times New Roman" w:eastAsia="仿宋_GB2312"/>
        </w:rPr>
        <w:t>一般公共预算、政府性基金预算、国有资本经营预算拨款收支情况。</w:t>
      </w:r>
    </w:p>
    <w:p>
      <w:pPr>
        <w:pStyle w:val="8"/>
        <w:ind w:left="210" w:right="210" w:firstLine="635"/>
        <w:rPr>
          <w:rFonts w:hint="eastAsia" w:ascii="Times New Roman" w:hAnsi="Times New Roman" w:eastAsia="仿宋_GB2312"/>
        </w:rPr>
      </w:pPr>
      <w:r>
        <w:rPr>
          <w:rFonts w:hint="eastAsia"/>
        </w:rPr>
        <w:t>一般公共预算拨款收入：</w:t>
      </w:r>
      <w:r>
        <w:rPr>
          <w:rFonts w:hint="eastAsia" w:ascii="Times New Roman" w:hAnsi="Times New Roman" w:eastAsia="仿宋_GB2312"/>
        </w:rPr>
        <w:t>指市级财政当年拨付的资金。</w:t>
      </w:r>
    </w:p>
    <w:p>
      <w:pPr>
        <w:pStyle w:val="8"/>
        <w:ind w:left="210" w:right="210" w:firstLine="635"/>
        <w:rPr>
          <w:rFonts w:hint="eastAsia" w:ascii="Times New Roman" w:hAnsi="Times New Roman" w:eastAsia="仿宋_GB2312"/>
        </w:rPr>
      </w:pPr>
      <w:r>
        <w:rPr>
          <w:rFonts w:hint="eastAsia"/>
        </w:rPr>
        <w:t>事业收入：</w:t>
      </w:r>
      <w:r>
        <w:rPr>
          <w:rFonts w:hint="eastAsia" w:ascii="Times New Roman" w:hAnsi="Times New Roman" w:eastAsia="仿宋_GB2312"/>
        </w:rPr>
        <w:t>指事业单位开展专业业务活动及辅助活动所取得的收入。</w:t>
      </w:r>
    </w:p>
    <w:p>
      <w:pPr>
        <w:pStyle w:val="8"/>
        <w:ind w:left="210" w:right="210" w:firstLine="635"/>
        <w:rPr>
          <w:rFonts w:hint="eastAsia" w:ascii="Times New Roman" w:hAnsi="Times New Roman" w:eastAsia="仿宋_GB2312"/>
        </w:rPr>
      </w:pPr>
      <w:r>
        <w:rPr>
          <w:rFonts w:hint="eastAsia"/>
        </w:rPr>
        <w:t>事业单位经营收入：</w:t>
      </w:r>
      <w:r>
        <w:rPr>
          <w:rFonts w:hint="eastAsia" w:ascii="Times New Roman" w:hAnsi="Times New Roman" w:eastAsia="仿宋_GB2312"/>
        </w:rPr>
        <w:t>指事业单位在专业业务活动及其辅助活动之外开展非独立核算经营活动取得的收入。</w:t>
      </w:r>
    </w:p>
    <w:p>
      <w:pPr>
        <w:pStyle w:val="8"/>
        <w:ind w:left="210" w:right="210" w:firstLine="635"/>
        <w:rPr>
          <w:rFonts w:hint="eastAsia" w:ascii="Times New Roman" w:hAnsi="Times New Roman" w:eastAsia="仿宋_GB2312"/>
        </w:rPr>
      </w:pPr>
      <w:r>
        <w:rPr>
          <w:rFonts w:hint="eastAsia"/>
        </w:rPr>
        <w:t>其他收入：</w:t>
      </w:r>
      <w:r>
        <w:rPr>
          <w:rFonts w:hint="eastAsia" w:ascii="Times New Roman" w:hAnsi="Times New Roman" w:eastAsia="仿宋_GB2312"/>
        </w:rPr>
        <w:t>指除上述“一般公共预算拨款收入”、“事业收入”、“事业单位经营收入”等以外的收入。</w:t>
      </w:r>
    </w:p>
    <w:p>
      <w:pPr>
        <w:pStyle w:val="8"/>
        <w:ind w:left="210" w:right="210" w:firstLine="635"/>
        <w:rPr>
          <w:rFonts w:hint="eastAsia" w:ascii="Times New Roman" w:hAnsi="Times New Roman" w:eastAsia="仿宋_GB2312"/>
        </w:rPr>
      </w:pPr>
      <w:r>
        <w:rPr>
          <w:rFonts w:hint="eastAsia"/>
        </w:rPr>
        <w:t>上年结转：</w:t>
      </w:r>
      <w:r>
        <w:rPr>
          <w:rFonts w:hint="eastAsia" w:ascii="Times New Roman" w:hAnsi="Times New Roman" w:eastAsia="仿宋_GB2312"/>
        </w:rPr>
        <w:t>指以前年度尚未完成，结转到本年仍按原规定用途继续使用的资金。</w:t>
      </w:r>
    </w:p>
    <w:p>
      <w:pPr>
        <w:pStyle w:val="8"/>
        <w:ind w:left="210" w:right="210" w:firstLine="635"/>
        <w:rPr>
          <w:rFonts w:hint="eastAsia" w:ascii="Times New Roman" w:hAnsi="Times New Roman" w:eastAsia="仿宋_GB2312"/>
        </w:rPr>
      </w:pPr>
      <w:r>
        <w:rPr>
          <w:rFonts w:hint="eastAsia"/>
        </w:rPr>
        <w:t>社会保障和就业（类）行政事业单位离退休（款）事业单位离退休（项）：</w:t>
      </w:r>
      <w:r>
        <w:rPr>
          <w:rFonts w:hint="eastAsia" w:ascii="Times New Roman" w:hAnsi="Times New Roman" w:eastAsia="仿宋_GB2312"/>
        </w:rPr>
        <w:t>指离退休人员的支出。</w:t>
      </w:r>
    </w:p>
    <w:p>
      <w:pPr>
        <w:pStyle w:val="8"/>
        <w:ind w:left="210" w:right="210" w:firstLine="635"/>
        <w:rPr>
          <w:rFonts w:hint="eastAsia" w:ascii="Times New Roman" w:hAnsi="Times New Roman" w:eastAsia="仿宋_GB2312"/>
        </w:rPr>
      </w:pPr>
      <w:r>
        <w:rPr>
          <w:rFonts w:hint="eastAsia"/>
        </w:rPr>
        <w:t>社会保障和就业（类）行政事业单位离退休（款）未归口管理的行政单位离退休（项）：</w:t>
      </w:r>
      <w:r>
        <w:rPr>
          <w:rFonts w:hint="eastAsia" w:ascii="Times New Roman" w:hAnsi="Times New Roman" w:eastAsia="仿宋_GB2312"/>
        </w:rPr>
        <w:t>指离退休人员的支出。</w:t>
      </w:r>
    </w:p>
    <w:p>
      <w:pPr>
        <w:pStyle w:val="8"/>
        <w:ind w:left="210" w:right="210" w:firstLine="635"/>
        <w:rPr>
          <w:rFonts w:hint="eastAsia"/>
        </w:rPr>
      </w:pPr>
      <w:r>
        <w:rPr>
          <w:rFonts w:hint="eastAsia"/>
        </w:rPr>
        <w:t>社会保障和就业（类）行政事业单位离退休（款）机关事业单位基本养老保险缴费支出（项）：</w:t>
      </w:r>
      <w:r>
        <w:rPr>
          <w:rFonts w:hint="eastAsia" w:ascii="Times New Roman" w:hAnsi="Times New Roman" w:eastAsia="仿宋_GB2312"/>
        </w:rPr>
        <w:t>指</w:t>
      </w:r>
      <w:r>
        <w:rPr>
          <w:rFonts w:hint="eastAsia" w:ascii="Times New Roman" w:hAnsi="Times New Roman" w:eastAsia="仿宋_GB2312"/>
          <w:lang w:eastAsia="zh-CN"/>
        </w:rPr>
        <w:t>单位</w:t>
      </w:r>
      <w:r>
        <w:rPr>
          <w:rFonts w:hint="eastAsia" w:ascii="Times New Roman" w:hAnsi="Times New Roman" w:eastAsia="仿宋_GB2312"/>
        </w:rPr>
        <w:t>实施养老保险制度由单位缴纳的养老保险费的支出。</w:t>
      </w:r>
    </w:p>
    <w:p>
      <w:pPr>
        <w:pStyle w:val="8"/>
        <w:ind w:left="210" w:right="210" w:firstLine="635"/>
        <w:rPr>
          <w:rFonts w:hint="eastAsia" w:ascii="Times New Roman" w:hAnsi="Times New Roman" w:eastAsia="仿宋_GB2312"/>
        </w:rPr>
      </w:pPr>
      <w:r>
        <w:rPr>
          <w:rFonts w:hint="eastAsia"/>
        </w:rPr>
        <w:t>社会保障和就业（类）行政事业单位离退休（款）机关事业单位职业年金缴费支出（项）：</w:t>
      </w:r>
      <w:r>
        <w:rPr>
          <w:rFonts w:hint="eastAsia" w:ascii="Times New Roman" w:hAnsi="Times New Roman" w:eastAsia="仿宋_GB2312"/>
        </w:rPr>
        <w:t>指</w:t>
      </w:r>
      <w:r>
        <w:rPr>
          <w:rFonts w:hint="eastAsia" w:ascii="Times New Roman" w:hAnsi="Times New Roman" w:eastAsia="仿宋_GB2312"/>
          <w:lang w:eastAsia="zh-CN"/>
        </w:rPr>
        <w:t>单位</w:t>
      </w:r>
      <w:r>
        <w:rPr>
          <w:rFonts w:hint="eastAsia" w:ascii="Times New Roman" w:hAnsi="Times New Roman" w:eastAsia="仿宋_GB2312"/>
        </w:rPr>
        <w:t>实施养老保险制度由单位缴纳的职业年金的支出。</w:t>
      </w:r>
    </w:p>
    <w:p>
      <w:pPr>
        <w:pStyle w:val="8"/>
        <w:ind w:left="210" w:right="210" w:firstLine="635"/>
        <w:rPr>
          <w:rFonts w:hint="eastAsia" w:ascii="Times New Roman" w:hAnsi="Times New Roman" w:eastAsia="仿宋_GB2312"/>
        </w:rPr>
      </w:pPr>
      <w:r>
        <w:rPr>
          <w:rFonts w:hint="eastAsia"/>
        </w:rPr>
        <w:t>社会保障和就业（类）其他社会保障和就业（款）其他社会保障和就业支出（项）：</w:t>
      </w:r>
      <w:r>
        <w:rPr>
          <w:rFonts w:hint="eastAsia" w:ascii="Times New Roman" w:hAnsi="Times New Roman" w:eastAsia="仿宋_GB2312"/>
        </w:rPr>
        <w:t>指除上述项目外，其他用于行政事业单位离退休方面的支出。</w:t>
      </w:r>
    </w:p>
    <w:p>
      <w:pPr>
        <w:pStyle w:val="8"/>
        <w:ind w:left="210" w:right="210" w:firstLine="635"/>
        <w:rPr>
          <w:rFonts w:hint="eastAsia" w:ascii="Times New Roman" w:hAnsi="Times New Roman" w:eastAsia="仿宋_GB2312"/>
        </w:rPr>
      </w:pPr>
      <w:r>
        <w:rPr>
          <w:rFonts w:hint="eastAsia"/>
        </w:rPr>
        <w:t>医疗卫生与计划生育（类）行政事业单位医疗（款）行政单位医疗（项）：</w:t>
      </w:r>
      <w:r>
        <w:rPr>
          <w:rFonts w:hint="eastAsia" w:ascii="Times New Roman" w:hAnsi="Times New Roman" w:eastAsia="仿宋_GB2312"/>
        </w:rPr>
        <w:t>指行政单位及参公管理事业单位用于缴纳单位基本医疗保险支出。</w:t>
      </w:r>
    </w:p>
    <w:p>
      <w:pPr>
        <w:pStyle w:val="8"/>
        <w:ind w:left="210" w:right="210" w:firstLine="635"/>
        <w:rPr>
          <w:rFonts w:hint="eastAsia" w:ascii="Times New Roman" w:hAnsi="Times New Roman" w:eastAsia="仿宋_GB2312"/>
        </w:rPr>
      </w:pPr>
      <w:r>
        <w:rPr>
          <w:rFonts w:hint="eastAsia"/>
        </w:rPr>
        <w:t>医疗卫生与计划生育（类）行政事业单位医疗（款）事业单位医疗（项）：</w:t>
      </w:r>
      <w:r>
        <w:rPr>
          <w:rFonts w:hint="eastAsia" w:ascii="Times New Roman" w:hAnsi="Times New Roman" w:eastAsia="仿宋_GB2312"/>
        </w:rPr>
        <w:t>指事业单位用于缴纳单位基本医疗保险支出。</w:t>
      </w:r>
    </w:p>
    <w:p>
      <w:pPr>
        <w:pStyle w:val="8"/>
        <w:ind w:left="210" w:right="210" w:firstLine="635"/>
        <w:rPr>
          <w:rFonts w:hint="eastAsia"/>
        </w:rPr>
      </w:pPr>
      <w:r>
        <w:rPr>
          <w:rFonts w:hint="eastAsia"/>
        </w:rPr>
        <w:t>医疗卫生与计划生育（类）行政事业单位医疗（款）公务员医疗补助（项）：</w:t>
      </w:r>
      <w:r>
        <w:rPr>
          <w:rFonts w:hint="eastAsia" w:ascii="Times New Roman" w:hAnsi="Times New Roman" w:eastAsia="仿宋_GB2312"/>
        </w:rPr>
        <w:t>指行政单位及参公管理事业单位用于集中缴纳公务员医疗补助支出。</w:t>
      </w:r>
    </w:p>
    <w:p>
      <w:pPr>
        <w:pStyle w:val="8"/>
        <w:ind w:left="210" w:right="210" w:firstLine="635"/>
        <w:rPr>
          <w:rFonts w:hint="eastAsia" w:ascii="Times New Roman" w:hAnsi="Times New Roman" w:eastAsia="仿宋_GB2312"/>
        </w:rPr>
      </w:pPr>
      <w:r>
        <w:rPr>
          <w:rFonts w:hint="eastAsia"/>
        </w:rPr>
        <w:t>住房保障（类）住房改革支出（款）住房公积金（项）：</w:t>
      </w:r>
      <w:r>
        <w:rPr>
          <w:rFonts w:hint="eastAsia" w:ascii="Times New Roman" w:hAnsi="Times New Roman" w:eastAsia="仿宋_GB2312"/>
        </w:rPr>
        <w:t>指由单位及其在职职工按规定缴存的住房公积金支出。</w:t>
      </w:r>
    </w:p>
    <w:p>
      <w:pPr>
        <w:pStyle w:val="8"/>
        <w:ind w:left="210" w:right="210" w:firstLine="635"/>
        <w:rPr>
          <w:rFonts w:hint="eastAsia" w:ascii="Times New Roman" w:hAnsi="Times New Roman" w:eastAsia="仿宋_GB2312"/>
        </w:rPr>
      </w:pPr>
      <w:r>
        <w:rPr>
          <w:rFonts w:hint="eastAsia"/>
        </w:rPr>
        <w:t>基本支出：</w:t>
      </w:r>
      <w:r>
        <w:rPr>
          <w:rFonts w:hint="eastAsia" w:ascii="Times New Roman" w:hAnsi="Times New Roman" w:eastAsia="仿宋_GB2312"/>
        </w:rPr>
        <w:t>指为保证机构正常运转，完成日常工作任务而发生的人员支出和公用支出。</w:t>
      </w:r>
    </w:p>
    <w:p>
      <w:pPr>
        <w:pStyle w:val="8"/>
        <w:ind w:left="210" w:right="210" w:firstLine="635"/>
        <w:rPr>
          <w:rFonts w:hint="eastAsia"/>
        </w:rPr>
      </w:pPr>
      <w:r>
        <w:rPr>
          <w:rFonts w:hint="eastAsia"/>
        </w:rPr>
        <w:t>项目支出：</w:t>
      </w:r>
      <w:r>
        <w:rPr>
          <w:rFonts w:hint="eastAsia" w:ascii="Times New Roman" w:hAnsi="Times New Roman" w:eastAsia="仿宋_GB2312"/>
        </w:rPr>
        <w:t>指在基本支出之外为完成特定行政任务和事业发展目标所发生的支出。</w:t>
      </w:r>
    </w:p>
    <w:p>
      <w:pPr>
        <w:pStyle w:val="8"/>
        <w:ind w:left="210" w:right="210" w:firstLine="635"/>
        <w:rPr>
          <w:rFonts w:ascii="Times New Roman" w:hAnsi="Times New Roman" w:eastAsia="仿宋_GB2312"/>
        </w:rPr>
      </w:pPr>
      <w:r>
        <w:rPr>
          <w:rFonts w:hint="eastAsia"/>
        </w:rPr>
        <w:t>三公经费：</w:t>
      </w:r>
      <w:r>
        <w:rPr>
          <w:rFonts w:hint="eastAsia" w:ascii="Times New Roman" w:hAnsi="Times New Roman" w:eastAsia="仿宋_GB2312"/>
        </w:rPr>
        <w:t>纳入预算管理的“三公”经费，是指</w:t>
      </w:r>
      <w:r>
        <w:rPr>
          <w:rFonts w:hint="eastAsia" w:ascii="Times New Roman" w:hAnsi="Times New Roman" w:eastAsia="仿宋_GB2312"/>
          <w:lang w:eastAsia="zh-CN"/>
        </w:rPr>
        <w:t>单位</w:t>
      </w:r>
      <w:r>
        <w:rPr>
          <w:rFonts w:hint="eastAsia" w:ascii="Times New Roman" w:hAnsi="Times New Roman" w:eastAsia="仿宋_GB2312"/>
        </w:rPr>
        <w:t>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sectPr>
      <w:footerReference r:id="rId10" w:type="default"/>
      <w:pgSz w:w="11906" w:h="16838"/>
      <w:pgMar w:top="1440" w:right="1800" w:bottom="1440" w:left="1800" w:header="720" w:footer="720" w:gutter="0"/>
      <w:pgNumType w:fmt="numberInDash" w:start="1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Dialog . plain">
    <w:altName w:val="Segoe Print"/>
    <w:panose1 w:val="00000000000000000000"/>
    <w:charset w:val="00"/>
    <w:family w:val="auto"/>
    <w:pitch w:val="default"/>
    <w:sig w:usb0="00000000" w:usb1="00000000" w:usb2="00000000" w:usb3="00000000" w:csb0="00000000" w:csb1="00000000"/>
  </w:font>
  <w:font w:name="Dialog . bold">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3"/>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- 12 -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F47CE9"/>
    <w:multiLevelType w:val="singleLevel"/>
    <w:tmpl w:val="ABF47CE9"/>
    <w:lvl w:ilvl="0" w:tentative="0">
      <w:start w:val="12"/>
      <w:numFmt w:val="chineseCounting"/>
      <w:suff w:val="nothing"/>
      <w:lvlText w:val="%1、"/>
      <w:lvlJc w:val="left"/>
      <w:rPr>
        <w:rFonts w:hint="eastAsia"/>
      </w:rPr>
    </w:lvl>
  </w:abstractNum>
  <w:abstractNum w:abstractNumId="1">
    <w:nsid w:val="B62E5D60"/>
    <w:multiLevelType w:val="singleLevel"/>
    <w:tmpl w:val="B62E5D60"/>
    <w:lvl w:ilvl="0" w:tentative="0">
      <w:start w:val="1"/>
      <w:numFmt w:val="chineseCounting"/>
      <w:suff w:val="nothing"/>
      <w:lvlText w:val="%1、"/>
      <w:lvlJc w:val="left"/>
      <w:rPr>
        <w:rFonts w:hint="eastAsia"/>
      </w:rPr>
    </w:lvl>
  </w:abstractNum>
  <w:abstractNum w:abstractNumId="2">
    <w:nsid w:val="CF092B84"/>
    <w:multiLevelType w:val="multilevel"/>
    <w:tmpl w:val="CF092B84"/>
    <w:lvl w:ilvl="0" w:tentative="0">
      <w:start w:val="52"/>
      <w:numFmt w:val="decimal"/>
      <w:lvlText w:val="%1"/>
      <w:lvlJc w:val="left"/>
      <w:pPr>
        <w:ind w:left="1002" w:hanging="723"/>
      </w:pPr>
      <w:rPr>
        <w:rFonts w:hint="default"/>
        <w:lang w:val="zh-CN" w:eastAsia="zh-CN" w:bidi="zh-CN"/>
      </w:rPr>
    </w:lvl>
    <w:lvl w:ilvl="1" w:tentative="0">
      <w:start w:val="68"/>
      <w:numFmt w:val="decimal"/>
      <w:lvlText w:val="%1.%2"/>
      <w:lvlJc w:val="left"/>
      <w:pPr>
        <w:ind w:left="1002" w:hanging="723"/>
      </w:pPr>
      <w:rPr>
        <w:rFonts w:hint="default" w:ascii="Times New Roman" w:hAnsi="Times New Roman" w:eastAsia="Times New Roman" w:cs="Times New Roman"/>
        <w:spacing w:val="-2"/>
        <w:w w:val="99"/>
        <w:sz w:val="30"/>
        <w:szCs w:val="30"/>
        <w:lang w:val="zh-CN" w:eastAsia="zh-CN" w:bidi="zh-CN"/>
      </w:rPr>
    </w:lvl>
    <w:lvl w:ilvl="2" w:tentative="0">
      <w:start w:val="1"/>
      <w:numFmt w:val="decimal"/>
      <w:lvlText w:val="%3."/>
      <w:lvlJc w:val="left"/>
      <w:pPr>
        <w:ind w:left="280" w:hanging="242"/>
      </w:pPr>
      <w:rPr>
        <w:rFonts w:hint="default"/>
        <w:spacing w:val="-1"/>
        <w:w w:val="99"/>
        <w:lang w:val="zh-CN" w:eastAsia="zh-CN" w:bidi="zh-CN"/>
      </w:rPr>
    </w:lvl>
    <w:lvl w:ilvl="3" w:tentative="0">
      <w:start w:val="0"/>
      <w:numFmt w:val="bullet"/>
      <w:lvlText w:val="•"/>
      <w:lvlJc w:val="left"/>
      <w:pPr>
        <w:ind w:left="2748" w:hanging="242"/>
      </w:pPr>
      <w:rPr>
        <w:rFonts w:hint="default"/>
        <w:lang w:val="zh-CN" w:eastAsia="zh-CN" w:bidi="zh-CN"/>
      </w:rPr>
    </w:lvl>
    <w:lvl w:ilvl="4" w:tentative="0">
      <w:start w:val="0"/>
      <w:numFmt w:val="bullet"/>
      <w:lvlText w:val="•"/>
      <w:lvlJc w:val="left"/>
      <w:pPr>
        <w:ind w:left="3622" w:hanging="242"/>
      </w:pPr>
      <w:rPr>
        <w:rFonts w:hint="default"/>
        <w:lang w:val="zh-CN" w:eastAsia="zh-CN" w:bidi="zh-CN"/>
      </w:rPr>
    </w:lvl>
    <w:lvl w:ilvl="5" w:tentative="0">
      <w:start w:val="0"/>
      <w:numFmt w:val="bullet"/>
      <w:lvlText w:val="•"/>
      <w:lvlJc w:val="left"/>
      <w:pPr>
        <w:ind w:left="4496" w:hanging="242"/>
      </w:pPr>
      <w:rPr>
        <w:rFonts w:hint="default"/>
        <w:lang w:val="zh-CN" w:eastAsia="zh-CN" w:bidi="zh-CN"/>
      </w:rPr>
    </w:lvl>
    <w:lvl w:ilvl="6" w:tentative="0">
      <w:start w:val="0"/>
      <w:numFmt w:val="bullet"/>
      <w:lvlText w:val="•"/>
      <w:lvlJc w:val="left"/>
      <w:pPr>
        <w:ind w:left="5370" w:hanging="242"/>
      </w:pPr>
      <w:rPr>
        <w:rFonts w:hint="default"/>
        <w:lang w:val="zh-CN" w:eastAsia="zh-CN" w:bidi="zh-CN"/>
      </w:rPr>
    </w:lvl>
    <w:lvl w:ilvl="7" w:tentative="0">
      <w:start w:val="0"/>
      <w:numFmt w:val="bullet"/>
      <w:lvlText w:val="•"/>
      <w:lvlJc w:val="left"/>
      <w:pPr>
        <w:ind w:left="6244" w:hanging="242"/>
      </w:pPr>
      <w:rPr>
        <w:rFonts w:hint="default"/>
        <w:lang w:val="zh-CN" w:eastAsia="zh-CN" w:bidi="zh-CN"/>
      </w:rPr>
    </w:lvl>
    <w:lvl w:ilvl="8" w:tentative="0">
      <w:start w:val="0"/>
      <w:numFmt w:val="bullet"/>
      <w:lvlText w:val="•"/>
      <w:lvlJc w:val="left"/>
      <w:pPr>
        <w:ind w:left="7118" w:hanging="242"/>
      </w:pPr>
      <w:rPr>
        <w:rFonts w:hint="default"/>
        <w:lang w:val="zh-CN" w:eastAsia="zh-CN" w:bidi="zh-CN"/>
      </w:rPr>
    </w:lvl>
  </w:abstractNum>
  <w:abstractNum w:abstractNumId="3">
    <w:nsid w:val="12073AA9"/>
    <w:multiLevelType w:val="multilevel"/>
    <w:tmpl w:val="12073AA9"/>
    <w:lvl w:ilvl="0" w:tentative="0">
      <w:start w:val="1"/>
      <w:numFmt w:val="chineseCountingThousand"/>
      <w:pStyle w:val="8"/>
      <w:lvlText w:val="(%1)"/>
      <w:lvlJc w:val="left"/>
      <w:pPr>
        <w:ind w:left="420" w:hanging="420"/>
      </w:pPr>
      <w:rPr>
        <w:rFonts w:hint="eastAsia" w:ascii="楷体_GB2312" w:eastAsia="楷体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NzlkZGVlYWViNWY4NTQyYmZhMTlhMDUwNmFkMWEifQ=="/>
  </w:docVars>
  <w:rsids>
    <w:rsidRoot w:val="2E830B90"/>
    <w:rsid w:val="2E830B90"/>
    <w:rsid w:val="2EAC3B40"/>
    <w:rsid w:val="32A66524"/>
    <w:rsid w:val="370A2F42"/>
    <w:rsid w:val="419E1966"/>
    <w:rsid w:val="46886190"/>
    <w:rsid w:val="513477FE"/>
    <w:rsid w:val="6A1878E9"/>
    <w:rsid w:val="6E3851B0"/>
    <w:rsid w:val="7BA41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before="0" w:after="140" w:line="276" w:lineRule="auto"/>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qFormat/>
    <w:uiPriority w:val="0"/>
    <w:rPr>
      <w:b/>
    </w:rPr>
  </w:style>
  <w:style w:type="paragraph" w:customStyle="1" w:styleId="8">
    <w:name w:val="〖B02〗二级标题"/>
    <w:basedOn w:val="1"/>
    <w:next w:val="1"/>
    <w:autoRedefine/>
    <w:qFormat/>
    <w:uiPriority w:val="0"/>
    <w:pPr>
      <w:numPr>
        <w:ilvl w:val="0"/>
        <w:numId w:val="1"/>
      </w:numPr>
      <w:suppressAutoHyphens w:val="0"/>
      <w:topLinePunct/>
      <w:spacing w:line="600" w:lineRule="exact"/>
      <w:outlineLvl w:val="1"/>
    </w:pPr>
    <w:rPr>
      <w:rFonts w:ascii="楷体_GB2312" w:eastAsia="楷体_GB2312"/>
      <w:sz w:val="32"/>
      <w:szCs w:val="32"/>
    </w:rPr>
  </w:style>
  <w:style w:type="character" w:customStyle="1" w:styleId="9">
    <w:name w:val="font61"/>
    <w:basedOn w:val="6"/>
    <w:qFormat/>
    <w:uiPriority w:val="0"/>
    <w:rPr>
      <w:rFonts w:hint="eastAsia" w:ascii="宋体" w:hAnsi="宋体" w:eastAsia="宋体" w:cs="宋体"/>
      <w:color w:val="000000"/>
      <w:sz w:val="22"/>
      <w:szCs w:val="22"/>
      <w:u w:val="none"/>
    </w:rPr>
  </w:style>
  <w:style w:type="character" w:customStyle="1" w:styleId="10">
    <w:name w:val="font11"/>
    <w:basedOn w:val="6"/>
    <w:autoRedefine/>
    <w:qFormat/>
    <w:uiPriority w:val="0"/>
    <w:rPr>
      <w:rFonts w:hint="eastAsia" w:ascii="宋体" w:hAnsi="宋体" w:eastAsia="宋体" w:cs="宋体"/>
      <w:b/>
      <w:color w:val="000000"/>
      <w:sz w:val="22"/>
      <w:szCs w:val="22"/>
      <w:u w:val="none"/>
    </w:rPr>
  </w:style>
  <w:style w:type="character" w:customStyle="1" w:styleId="11">
    <w:name w:val="font31"/>
    <w:basedOn w:val="6"/>
    <w:autoRedefine/>
    <w:qFormat/>
    <w:uiPriority w:val="0"/>
    <w:rPr>
      <w:rFonts w:hint="eastAsia" w:ascii="宋体" w:hAnsi="宋体" w:eastAsia="宋体" w:cs="宋体"/>
      <w:color w:val="000000"/>
      <w:sz w:val="22"/>
      <w:szCs w:val="22"/>
      <w:u w:val="none"/>
    </w:rPr>
  </w:style>
  <w:style w:type="paragraph" w:styleId="12">
    <w:name w:val="List Paragraph"/>
    <w:basedOn w:val="1"/>
    <w:autoRedefine/>
    <w:qFormat/>
    <w:uiPriority w:val="1"/>
    <w:pPr>
      <w:ind w:left="280" w:firstLine="640"/>
    </w:pPr>
    <w:rPr>
      <w:rFonts w:ascii="宋体" w:hAnsi="宋体" w:eastAsia="宋体" w:cs="宋体"/>
      <w:lang w:val="zh-CN" w:eastAsia="zh-CN" w:bidi="zh-CN"/>
    </w:rPr>
  </w:style>
  <w:style w:type="paragraph" w:customStyle="1" w:styleId="13">
    <w:name w:val="〖C01〗正文"/>
    <w:basedOn w:val="1"/>
    <w:autoRedefine/>
    <w:qFormat/>
    <w:uiPriority w:val="0"/>
    <w:pPr>
      <w:topLinePunct/>
      <w:spacing w:line="600" w:lineRule="exact"/>
      <w:ind w:firstLine="640" w:firstLineChars="200"/>
    </w:pPr>
    <w:rPr>
      <w:rFonts w:ascii="仿宋_GB2312" w:hAnsi="Calibri" w:eastAsia="仿宋_GB2312"/>
      <w:sz w:val="32"/>
      <w:szCs w:val="32"/>
    </w:rPr>
  </w:style>
  <w:style w:type="character" w:customStyle="1" w:styleId="14">
    <w:name w:val="font71"/>
    <w:basedOn w:val="6"/>
    <w:uiPriority w:val="0"/>
    <w:rPr>
      <w:rFonts w:ascii="Dialog . plain" w:hAnsi="Dialog . plain" w:eastAsia="Dialog . plain" w:cs="Dialog . plain"/>
      <w:color w:val="000000"/>
      <w:sz w:val="22"/>
      <w:szCs w:val="22"/>
      <w:u w:val="none"/>
    </w:rPr>
  </w:style>
  <w:style w:type="character" w:customStyle="1" w:styleId="15">
    <w:name w:val="font81"/>
    <w:basedOn w:val="6"/>
    <w:uiPriority w:val="0"/>
    <w:rPr>
      <w:rFonts w:ascii="Dialog . bold" w:hAnsi="Dialog . bold" w:eastAsia="Dialog . bold" w:cs="Dialog . bold"/>
      <w:b/>
      <w:bCs/>
      <w:color w:val="000000"/>
      <w:sz w:val="22"/>
      <w:szCs w:val="22"/>
      <w:u w:val="none"/>
    </w:rPr>
  </w:style>
  <w:style w:type="character" w:customStyle="1" w:styleId="16">
    <w:name w:val="font51"/>
    <w:basedOn w:val="6"/>
    <w:uiPriority w:val="0"/>
    <w:rPr>
      <w:rFonts w:ascii="Dialog . plain" w:hAnsi="Dialog . plain" w:eastAsia="Dialog . plain" w:cs="Dialog . plai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6746</Words>
  <Characters>8349</Characters>
  <Lines>0</Lines>
  <Paragraphs>0</Paragraphs>
  <TotalTime>285</TotalTime>
  <ScaleCrop>false</ScaleCrop>
  <LinksUpToDate>false</LinksUpToDate>
  <CharactersWithSpaces>8640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2022-04-17T10:02:00Z</dcterms:created>
  <dc:creator>唐儆廉</dc:creator>
  <cp:lastModifiedBy>吴刚13881386287</cp:lastModifiedBy>
  <dcterms:modified xsi:type="dcterms:W3CDTF">2024-03-06T15:46:52Z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FD79DD28EA7145458CFA73147E790DB9_13</vt:lpwstr>
  </property>
</Properties>
</file>